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5413BD">
        <w:rPr>
          <w:rFonts w:ascii="Palatino Linotype" w:hAnsi="Palatino Linotype" w:cs="Arial"/>
          <w:b/>
          <w:sz w:val="24"/>
          <w:szCs w:val="24"/>
        </w:rPr>
        <w:t>03645</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46491C" w:rsidP="00105730">
      <w:pPr>
        <w:spacing w:after="0" w:line="360" w:lineRule="auto"/>
        <w:jc w:val="both"/>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01046D" w:rsidRDefault="00EA2C08"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Restringir el derecho de acceso a la información pública del particular al no ordenar la información solicitada por no impugnar la falta de entrega de </w:t>
      </w:r>
      <w:r w:rsidR="00F15D8D">
        <w:rPr>
          <w:rFonts w:ascii="Palatino Linotype" w:hAnsi="Palatino Linotype" w:cs="Arial"/>
          <w:sz w:val="24"/>
          <w:szCs w:val="24"/>
        </w:rPr>
        <w:t>algunos</w:t>
      </w:r>
      <w:r w:rsidRPr="0001046D">
        <w:rPr>
          <w:rFonts w:ascii="Palatino Linotype" w:hAnsi="Palatino Linotype" w:cs="Arial"/>
          <w:sz w:val="24"/>
          <w:szCs w:val="24"/>
        </w:rPr>
        <w:t xml:space="preserve">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EA2C08" w:rsidRP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dentro del margen de sus atribuciones, de prevenir violaciones a los derechos fundamentales.</w:t>
      </w:r>
    </w:p>
    <w:p w:rsidR="0046491C" w:rsidRPr="0001046D" w:rsidRDefault="00EA2C08"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C802C9"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31016511" w:history="1">
            <w:r w:rsidR="00C802C9" w:rsidRPr="00912B01">
              <w:rPr>
                <w:rStyle w:val="Hipervnculo"/>
                <w:rFonts w:ascii="Palatino Linotype" w:hAnsi="Palatino Linotype"/>
                <w:b/>
                <w:noProof/>
              </w:rPr>
              <w:t>I.</w:t>
            </w:r>
            <w:r w:rsidR="00C802C9">
              <w:rPr>
                <w:rFonts w:eastAsiaTheme="minorEastAsia"/>
                <w:noProof/>
                <w:lang w:eastAsia="es-MX"/>
              </w:rPr>
              <w:tab/>
            </w:r>
            <w:r w:rsidR="00C802C9" w:rsidRPr="00912B01">
              <w:rPr>
                <w:rStyle w:val="Hipervnculo"/>
                <w:rFonts w:ascii="Palatino Linotype" w:hAnsi="Palatino Linotype"/>
                <w:b/>
                <w:noProof/>
              </w:rPr>
              <w:t>Consideraciones Generales.</w:t>
            </w:r>
            <w:r w:rsidR="00C802C9">
              <w:rPr>
                <w:noProof/>
                <w:webHidden/>
              </w:rPr>
              <w:tab/>
            </w:r>
            <w:r w:rsidR="00C802C9">
              <w:rPr>
                <w:noProof/>
                <w:webHidden/>
              </w:rPr>
              <w:fldChar w:fldCharType="begin"/>
            </w:r>
            <w:r w:rsidR="00C802C9">
              <w:rPr>
                <w:noProof/>
                <w:webHidden/>
              </w:rPr>
              <w:instrText xml:space="preserve"> PAGEREF _Toc531016511 \h </w:instrText>
            </w:r>
            <w:r w:rsidR="00C802C9">
              <w:rPr>
                <w:noProof/>
                <w:webHidden/>
              </w:rPr>
            </w:r>
            <w:r w:rsidR="00C802C9">
              <w:rPr>
                <w:noProof/>
                <w:webHidden/>
              </w:rPr>
              <w:fldChar w:fldCharType="separate"/>
            </w:r>
            <w:r w:rsidR="00C802C9">
              <w:rPr>
                <w:noProof/>
                <w:webHidden/>
              </w:rPr>
              <w:t>2</w:t>
            </w:r>
            <w:r w:rsidR="00C802C9">
              <w:rPr>
                <w:noProof/>
                <w:webHidden/>
              </w:rPr>
              <w:fldChar w:fldCharType="end"/>
            </w:r>
          </w:hyperlink>
        </w:p>
        <w:p w:rsidR="00C802C9" w:rsidRDefault="002D590D">
          <w:pPr>
            <w:pStyle w:val="TDC1"/>
            <w:rPr>
              <w:rFonts w:eastAsiaTheme="minorEastAsia"/>
              <w:noProof/>
              <w:lang w:eastAsia="es-MX"/>
            </w:rPr>
          </w:pPr>
          <w:hyperlink w:anchor="_Toc531016512" w:history="1">
            <w:r w:rsidR="00C802C9" w:rsidRPr="00912B01">
              <w:rPr>
                <w:rStyle w:val="Hipervnculo"/>
                <w:rFonts w:ascii="Palatino Linotype" w:hAnsi="Palatino Linotype"/>
                <w:b/>
                <w:noProof/>
              </w:rPr>
              <w:t>II.</w:t>
            </w:r>
            <w:r w:rsidR="00C802C9">
              <w:rPr>
                <w:rFonts w:eastAsiaTheme="minorEastAsia"/>
                <w:noProof/>
                <w:lang w:eastAsia="es-MX"/>
              </w:rPr>
              <w:tab/>
            </w:r>
            <w:r w:rsidR="00C802C9" w:rsidRPr="00912B01">
              <w:rPr>
                <w:rStyle w:val="Hipervnculo"/>
                <w:rFonts w:ascii="Palatino Linotype" w:hAnsi="Palatino Linotype"/>
                <w:b/>
                <w:noProof/>
              </w:rPr>
              <w:t>De los requerimientos planteados en el recurso de revisión.</w:t>
            </w:r>
            <w:r w:rsidR="00C802C9">
              <w:rPr>
                <w:noProof/>
                <w:webHidden/>
              </w:rPr>
              <w:tab/>
            </w:r>
            <w:r w:rsidR="00C802C9">
              <w:rPr>
                <w:noProof/>
                <w:webHidden/>
              </w:rPr>
              <w:fldChar w:fldCharType="begin"/>
            </w:r>
            <w:r w:rsidR="00C802C9">
              <w:rPr>
                <w:noProof/>
                <w:webHidden/>
              </w:rPr>
              <w:instrText xml:space="preserve"> PAGEREF _Toc531016512 \h </w:instrText>
            </w:r>
            <w:r w:rsidR="00C802C9">
              <w:rPr>
                <w:noProof/>
                <w:webHidden/>
              </w:rPr>
            </w:r>
            <w:r w:rsidR="00C802C9">
              <w:rPr>
                <w:noProof/>
                <w:webHidden/>
              </w:rPr>
              <w:fldChar w:fldCharType="separate"/>
            </w:r>
            <w:r w:rsidR="00C802C9">
              <w:rPr>
                <w:noProof/>
                <w:webHidden/>
              </w:rPr>
              <w:t>3</w:t>
            </w:r>
            <w:r w:rsidR="00C802C9">
              <w:rPr>
                <w:noProof/>
                <w:webHidden/>
              </w:rPr>
              <w:fldChar w:fldCharType="end"/>
            </w:r>
          </w:hyperlink>
        </w:p>
        <w:p w:rsidR="00C802C9" w:rsidRDefault="002D590D">
          <w:pPr>
            <w:pStyle w:val="TDC1"/>
            <w:rPr>
              <w:rFonts w:eastAsiaTheme="minorEastAsia"/>
              <w:noProof/>
              <w:lang w:eastAsia="es-MX"/>
            </w:rPr>
          </w:pPr>
          <w:hyperlink w:anchor="_Toc531016513" w:history="1">
            <w:r w:rsidR="00C802C9" w:rsidRPr="00912B01">
              <w:rPr>
                <w:rStyle w:val="Hipervnculo"/>
                <w:rFonts w:ascii="Palatino Linotype" w:hAnsi="Palatino Linotype"/>
                <w:b/>
                <w:noProof/>
              </w:rPr>
              <w:t>III.</w:t>
            </w:r>
            <w:r w:rsidR="00C802C9">
              <w:rPr>
                <w:rFonts w:eastAsiaTheme="minorEastAsia"/>
                <w:noProof/>
                <w:lang w:eastAsia="es-MX"/>
              </w:rPr>
              <w:tab/>
            </w:r>
            <w:r w:rsidR="00C802C9" w:rsidRPr="00912B01">
              <w:rPr>
                <w:rStyle w:val="Hipervnculo"/>
                <w:rFonts w:ascii="Palatino Linotype" w:hAnsi="Palatino Linotype"/>
                <w:b/>
                <w:noProof/>
              </w:rPr>
              <w:t>Los actos consentidos no deben invocarse en el derecho fundamental de acceder a la información pública gubernamental.</w:t>
            </w:r>
            <w:r w:rsidR="00C802C9">
              <w:rPr>
                <w:noProof/>
                <w:webHidden/>
              </w:rPr>
              <w:tab/>
            </w:r>
            <w:r w:rsidR="00C802C9">
              <w:rPr>
                <w:noProof/>
                <w:webHidden/>
              </w:rPr>
              <w:fldChar w:fldCharType="begin"/>
            </w:r>
            <w:r w:rsidR="00C802C9">
              <w:rPr>
                <w:noProof/>
                <w:webHidden/>
              </w:rPr>
              <w:instrText xml:space="preserve"> PAGEREF _Toc531016513 \h </w:instrText>
            </w:r>
            <w:r w:rsidR="00C802C9">
              <w:rPr>
                <w:noProof/>
                <w:webHidden/>
              </w:rPr>
            </w:r>
            <w:r w:rsidR="00C802C9">
              <w:rPr>
                <w:noProof/>
                <w:webHidden/>
              </w:rPr>
              <w:fldChar w:fldCharType="separate"/>
            </w:r>
            <w:r w:rsidR="00C802C9">
              <w:rPr>
                <w:noProof/>
                <w:webHidden/>
              </w:rPr>
              <w:t>9</w:t>
            </w:r>
            <w:r w:rsidR="00C802C9">
              <w:rPr>
                <w:noProof/>
                <w:webHidden/>
              </w:rPr>
              <w:fldChar w:fldCharType="end"/>
            </w:r>
          </w:hyperlink>
        </w:p>
        <w:p w:rsidR="0046491C" w:rsidRPr="0001046D" w:rsidRDefault="0046491C" w:rsidP="00E34F08">
          <w:pPr>
            <w:spacing w:line="360" w:lineRule="auto"/>
            <w:rPr>
              <w:rFonts w:ascii="Palatino Linotype" w:hAnsi="Palatino Linotype"/>
            </w:rPr>
          </w:pPr>
          <w:r w:rsidRPr="0001046D">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1016511"/>
      <w:r w:rsidRPr="0001046D">
        <w:rPr>
          <w:rFonts w:ascii="Palatino Linotype" w:hAnsi="Palatino Linotype"/>
          <w:b/>
          <w:color w:val="auto"/>
          <w:sz w:val="24"/>
          <w:szCs w:val="24"/>
        </w:rPr>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FC16D9">
        <w:rPr>
          <w:rFonts w:ascii="Palatino Linotype" w:hAnsi="Palatino Linotype" w:cs="Arial"/>
          <w:sz w:val="24"/>
          <w:szCs w:val="24"/>
        </w:rPr>
        <w:t>Cuadragésimo</w:t>
      </w:r>
      <w:r w:rsidR="003837C2">
        <w:rPr>
          <w:rFonts w:ascii="Palatino Linotype" w:hAnsi="Palatino Linotype" w:cs="Arial"/>
          <w:sz w:val="24"/>
          <w:szCs w:val="24"/>
        </w:rPr>
        <w:t xml:space="preserve"> </w:t>
      </w:r>
      <w:r w:rsidR="005413BD">
        <w:rPr>
          <w:rFonts w:ascii="Palatino Linotype" w:hAnsi="Palatino Linotype" w:cs="Arial"/>
          <w:sz w:val="24"/>
          <w:szCs w:val="24"/>
        </w:rPr>
        <w:t>Tercera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5413BD">
        <w:rPr>
          <w:rFonts w:ascii="Palatino Linotype" w:hAnsi="Palatino Linotype" w:cs="Arial"/>
          <w:sz w:val="24"/>
          <w:szCs w:val="24"/>
        </w:rPr>
        <w:t>veintidós</w:t>
      </w:r>
      <w:r w:rsidRPr="00E34F08">
        <w:rPr>
          <w:rFonts w:ascii="Palatino Linotype" w:hAnsi="Palatino Linotype" w:cs="Arial"/>
          <w:sz w:val="24"/>
          <w:szCs w:val="24"/>
        </w:rPr>
        <w:t xml:space="preserve"> (</w:t>
      </w:r>
      <w:r w:rsidR="005413BD">
        <w:rPr>
          <w:rFonts w:ascii="Palatino Linotype" w:hAnsi="Palatino Linotype" w:cs="Arial"/>
          <w:sz w:val="24"/>
          <w:szCs w:val="24"/>
        </w:rPr>
        <w:t>22</w:t>
      </w:r>
      <w:r w:rsidR="00225026" w:rsidRPr="00E34F08">
        <w:rPr>
          <w:rFonts w:ascii="Palatino Linotype" w:hAnsi="Palatino Linotype" w:cs="Arial"/>
          <w:sz w:val="24"/>
          <w:szCs w:val="24"/>
        </w:rPr>
        <w:t xml:space="preserve">) de </w:t>
      </w:r>
      <w:r w:rsidR="00FC16D9">
        <w:rPr>
          <w:rFonts w:ascii="Palatino Linotype" w:hAnsi="Palatino Linotype" w:cs="Arial"/>
          <w:sz w:val="24"/>
          <w:szCs w:val="24"/>
        </w:rPr>
        <w:t>noviembre</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2D590D" w:rsidRPr="002D590D">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w:t>
      </w:r>
      <w:r w:rsidR="005413BD">
        <w:rPr>
          <w:rFonts w:ascii="Palatino Linotype" w:hAnsi="Palatino Linotype" w:cs="Arial"/>
          <w:sz w:val="24"/>
          <w:szCs w:val="24"/>
        </w:rPr>
        <w:t>la</w:t>
      </w:r>
      <w:r w:rsidR="00FC16D9">
        <w:rPr>
          <w:rFonts w:ascii="Palatino Linotype" w:hAnsi="Palatino Linotype" w:cs="Arial"/>
          <w:sz w:val="24"/>
          <w:szCs w:val="24"/>
        </w:rPr>
        <w:t xml:space="preserve"> </w:t>
      </w:r>
      <w:r w:rsidR="005413BD">
        <w:rPr>
          <w:rFonts w:ascii="Palatino Linotype" w:eastAsia="Calibri" w:hAnsi="Palatino Linotype" w:cs="Times New Roman"/>
          <w:b/>
          <w:sz w:val="24"/>
          <w:szCs w:val="24"/>
          <w:lang w:val="es-ES" w:eastAsia="es-ES"/>
        </w:rPr>
        <w:t>Secretaría de Movilidad</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00525F" w:rsidRPr="00E34F08">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5413BD">
        <w:rPr>
          <w:rFonts w:ascii="Palatino Linotype" w:eastAsia="Times New Roman" w:hAnsi="Palatino Linotype" w:cs="Arial"/>
          <w:b/>
          <w:bCs/>
          <w:sz w:val="24"/>
          <w:szCs w:val="24"/>
          <w:lang w:eastAsia="es-ES"/>
        </w:rPr>
        <w:t>03645</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A2C08"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que resultaban </w:t>
      </w:r>
      <w:r w:rsidR="003837C2">
        <w:rPr>
          <w:rFonts w:ascii="Palatino Linotype" w:hAnsi="Palatino Linotype" w:cs="Arial"/>
          <w:sz w:val="24"/>
          <w:szCs w:val="24"/>
        </w:rPr>
        <w:t xml:space="preserve">parcialmente </w:t>
      </w:r>
      <w:r w:rsidR="0046491C" w:rsidRPr="0001046D">
        <w:rPr>
          <w:rFonts w:ascii="Palatino Linotype" w:hAnsi="Palatino Linotype" w:cs="Arial"/>
          <w:sz w:val="24"/>
          <w:szCs w:val="24"/>
        </w:rPr>
        <w:t>fundad</w:t>
      </w:r>
      <w:r w:rsidR="0000525F" w:rsidRPr="0001046D">
        <w:rPr>
          <w:rFonts w:ascii="Palatino Linotype" w:hAnsi="Palatino Linotype" w:cs="Arial"/>
          <w:sz w:val="24"/>
          <w:szCs w:val="24"/>
        </w:rPr>
        <w:t>o</w:t>
      </w:r>
      <w:r w:rsidR="0046491C"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E90EB5" w:rsidRPr="005413BD">
        <w:rPr>
          <w:rFonts w:ascii="Palatino Linotype" w:hAnsi="Palatino Linotype" w:cs="Arial"/>
          <w:sz w:val="24"/>
          <w:szCs w:val="24"/>
        </w:rPr>
        <w:t>el</w:t>
      </w:r>
      <w:r w:rsidR="00E90EB5" w:rsidRPr="0001046D">
        <w:rPr>
          <w:rFonts w:ascii="Palatino Linotype" w:hAnsi="Palatino Linotype" w:cs="Arial"/>
          <w:b/>
          <w:sz w:val="24"/>
          <w:szCs w:val="24"/>
        </w:rPr>
        <w:t xml:space="preserve">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3837C2">
        <w:rPr>
          <w:rFonts w:ascii="Palatino Linotype" w:hAnsi="Palatino Linotype" w:cs="Arial"/>
          <w:sz w:val="24"/>
          <w:szCs w:val="24"/>
        </w:rPr>
        <w:t>C</w:t>
      </w:r>
      <w:r w:rsidR="00BF3534" w:rsidRPr="0001046D">
        <w:rPr>
          <w:rFonts w:ascii="Palatino Linotype" w:hAnsi="Palatino Linotype" w:cs="Arial"/>
          <w:sz w:val="24"/>
          <w:szCs w:val="24"/>
        </w:rPr>
        <w:t>uarto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 </w:t>
      </w:r>
      <w:r w:rsidR="005413BD">
        <w:rPr>
          <w:rFonts w:ascii="Palatino Linotype" w:hAnsi="Palatino Linotype" w:cs="Arial"/>
          <w:sz w:val="24"/>
          <w:szCs w:val="24"/>
        </w:rPr>
        <w:t>determinó a bien</w:t>
      </w:r>
      <w:r w:rsidR="00BF3534" w:rsidRPr="0001046D">
        <w:rPr>
          <w:rFonts w:ascii="Palatino Linotype" w:hAnsi="Palatino Linotype" w:cs="Arial"/>
          <w:sz w:val="24"/>
          <w:szCs w:val="24"/>
        </w:rPr>
        <w:t xml:space="preserve"> </w:t>
      </w:r>
      <w:r w:rsidR="006E1859">
        <w:rPr>
          <w:rFonts w:ascii="Palatino Linotype" w:hAnsi="Palatino Linotype" w:cs="Arial"/>
          <w:b/>
          <w:sz w:val="24"/>
          <w:szCs w:val="24"/>
        </w:rPr>
        <w:t>MODIFICAR</w:t>
      </w:r>
      <w:r w:rsidR="008E1DCC">
        <w:rPr>
          <w:rFonts w:ascii="Palatino Linotype" w:hAnsi="Palatino Linotype" w:cs="Arial"/>
          <w:sz w:val="24"/>
          <w:szCs w:val="24"/>
        </w:rPr>
        <w:t xml:space="preserve"> l</w:t>
      </w:r>
      <w:r w:rsidR="003837C2">
        <w:rPr>
          <w:rFonts w:ascii="Palatino Linotype" w:hAnsi="Palatino Linotype" w:cs="Arial"/>
          <w:sz w:val="24"/>
          <w:szCs w:val="24"/>
        </w:rPr>
        <w:t xml:space="preserve">a respuesta del </w:t>
      </w:r>
      <w:r w:rsidRPr="008E4128">
        <w:rPr>
          <w:rFonts w:ascii="Palatino Linotype" w:hAnsi="Palatino Linotype" w:cs="Arial"/>
          <w:b/>
          <w:sz w:val="24"/>
          <w:szCs w:val="24"/>
        </w:rPr>
        <w:t>SUJETO OBLIGADO</w:t>
      </w:r>
      <w:r w:rsidR="005413BD">
        <w:rPr>
          <w:rFonts w:ascii="Palatino Linotype" w:hAnsi="Palatino Linotype" w:cs="Arial"/>
          <w:sz w:val="24"/>
          <w:szCs w:val="24"/>
        </w:rPr>
        <w:t>;</w:t>
      </w:r>
      <w:r w:rsidR="003837C2">
        <w:rPr>
          <w:rFonts w:ascii="Palatino Linotype" w:hAnsi="Palatino Linotype" w:cs="Arial"/>
          <w:sz w:val="24"/>
          <w:szCs w:val="24"/>
        </w:rPr>
        <w:t xml:space="preserve">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w:t>
      </w:r>
      <w:r w:rsidR="0046491C" w:rsidRPr="003837C2">
        <w:rPr>
          <w:rFonts w:ascii="Palatino Linotype" w:hAnsi="Palatino Linotype" w:cs="Arial"/>
          <w:sz w:val="24"/>
          <w:szCs w:val="24"/>
        </w:rPr>
        <w:lastRenderedPageBreak/>
        <w:t>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31016512"/>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8E1DC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w:t>
      </w:r>
      <w:r w:rsidR="005413BD">
        <w:rPr>
          <w:rFonts w:ascii="Palatino Linotype" w:hAnsi="Palatino Linotype" w:cs="Arial"/>
          <w:sz w:val="24"/>
          <w:szCs w:val="24"/>
        </w:rPr>
        <w:t>de la</w:t>
      </w:r>
      <w:r w:rsidR="00413496" w:rsidRPr="00F25783">
        <w:rPr>
          <w:rFonts w:ascii="Palatino Linotype" w:hAnsi="Palatino Linotype" w:cs="Arial"/>
          <w:sz w:val="24"/>
          <w:szCs w:val="24"/>
        </w:rPr>
        <w:t xml:space="preserve"> </w:t>
      </w:r>
      <w:r w:rsidR="005413BD">
        <w:rPr>
          <w:rFonts w:ascii="Palatino Linotype" w:hAnsi="Palatino Linotype" w:cs="Arial"/>
          <w:b/>
          <w:sz w:val="24"/>
          <w:szCs w:val="24"/>
        </w:rPr>
        <w:t>Secretaría de Movilidad</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FF3CDD" w:rsidRPr="00B94DA0" w:rsidRDefault="00FF3CDD" w:rsidP="00FF3CDD">
      <w:pPr>
        <w:ind w:left="851" w:right="900"/>
        <w:jc w:val="both"/>
        <w:rPr>
          <w:rFonts w:ascii="Palatino Linotype" w:hAnsi="Palatino Linotype" w:cs="Arial"/>
          <w:b/>
          <w:i/>
        </w:rPr>
      </w:pPr>
      <w:r w:rsidRPr="00506538">
        <w:rPr>
          <w:rFonts w:ascii="Palatino Linotype" w:hAnsi="Palatino Linotype" w:cs="Arial"/>
          <w:i/>
          <w:lang w:eastAsia="es-MX"/>
        </w:rPr>
        <w:t>“</w:t>
      </w:r>
      <w:r w:rsidR="005413BD" w:rsidRPr="005413BD">
        <w:rPr>
          <w:rFonts w:ascii="Palatino Linotype" w:hAnsi="Palatino Linotype"/>
          <w:i/>
        </w:rPr>
        <w:t xml:space="preserve">Por medio de la presente solicito me sea entregado vía electrónica, el padrón o listado de vehículos particulares y de transporte público que conforma el parque vehicular de su Estado, solicitando exclusivamente el modelo y marca del vehículo, así como el número de placa del mismo. Con respecto al número de placa, se solicita exclusivamente el número de placa y no información personal del propietario del vehículo, manifestando que al estudiar la normativa de transparencia y acceso a la información pública, se ha identificado que la excepción a la regla de los datos personales es aquella información de carácter público, y si bien el número de placa no está identificado como tal, es información que debe ser visible tanto en la parte frontal y/o trasera de los vehículos que conforman el padrón vehicular de un Estado, el cual permita o facilite su reconocimiento, teniendo el propósito de que los vehículos automotores que circulan en el territorio nacional, se encuentren debidamente identificados para comprobar la legal posesión de los mismos, siendo información de interés público de conformidad con la Norma Oficial Mexicana NOM-001-SCT-2-2016, </w:t>
      </w:r>
      <w:r w:rsidR="005413BD" w:rsidRPr="005413BD">
        <w:rPr>
          <w:rFonts w:ascii="Palatino Linotype" w:hAnsi="Palatino Linotype"/>
          <w:i/>
        </w:rPr>
        <w:lastRenderedPageBreak/>
        <w:t>PLACAS METÁLICAS, CALCOMANÍAS DE IDENTIFICACIÓN Y TARJETAS DE CIRCULACIÓN EMPLEADAS EN AUTOMÓVILES, TRACTOCAMIONES, AUTOBUSES, CAMIONES, MOTOCICLETAS, REMOLQUES, SEMIRREMOLQUES, CONVERTIDORES Y GRÚAS, MATRICULADOS EN LA REPÚBLICA MEXICANA, LICENCIA FEDERAL DE CONDUCTOR, CALCOMANÍA DE VERIFICACIÓN FÍSICO-MECÁNICA, LISTADO DE SERIES ASIGNADAS POR TIPO DE VEHÍCULO, SERVICIO Y ENTIDAD FEDERATIVA O DEPENDENCIA DE GOBIERNO, ESPECIFICACIONES Y MÉTODO DE PRUEBA. En virtud de lo anterior, es evidente que al entregar el número de placa no se está revelando información alguna del particular, además de que se tiene conocimiento de que el gobierno de su Estado, ha implementado medidas de seguridad en sus sitios oficiales, brindando protección y resguardo de los datos personales de los contribuyentes, por lo que no es posible obtener datos personales al ingresar las placas en ninguno de sus portales (sin que se cuente más información que únicamente el particular posee), razón por la cual no existe causa justificada para que no me sea entregada la información solicitada.</w:t>
      </w:r>
      <w:r w:rsidRPr="00B94DA0">
        <w:rPr>
          <w:rFonts w:ascii="Palatino Linotype" w:hAnsi="Palatino Linotype" w:cs="Arial"/>
          <w:i/>
          <w:lang w:eastAsia="es-MX"/>
        </w:rPr>
        <w:t>”</w:t>
      </w:r>
      <w:r w:rsidRPr="00FF3CDD">
        <w:rPr>
          <w:rFonts w:ascii="Palatino Linotype" w:hAnsi="Palatino Linotype" w:cs="Arial"/>
          <w:lang w:eastAsia="es-MX"/>
        </w:rPr>
        <w:t>(</w:t>
      </w:r>
      <w:r>
        <w:rPr>
          <w:rFonts w:ascii="Palatino Linotype" w:hAnsi="Palatino Linotype" w:cs="Arial"/>
          <w:lang w:eastAsia="es-MX"/>
        </w:rPr>
        <w:t>S</w:t>
      </w:r>
      <w:r w:rsidRPr="00FF3CDD">
        <w:rPr>
          <w:rFonts w:ascii="Palatino Linotype" w:hAnsi="Palatino Linotype" w:cs="Arial"/>
          <w:lang w:eastAsia="es-MX"/>
        </w:rPr>
        <w:t>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AE4797"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9B4E7D" w:rsidRPr="00AE4797" w:rsidRDefault="009B4E7D"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5413BD" w:rsidRPr="005413BD" w:rsidRDefault="005413BD" w:rsidP="005413BD">
      <w:pPr>
        <w:pStyle w:val="Sinespaciado"/>
        <w:ind w:left="851" w:right="567"/>
        <w:jc w:val="right"/>
        <w:rPr>
          <w:rFonts w:ascii="Palatino Linotype" w:hAnsi="Palatino Linotype"/>
          <w:i/>
          <w:lang w:val="es-ES_tradnl" w:eastAsia="es-ES"/>
        </w:rPr>
      </w:pPr>
      <w:r>
        <w:rPr>
          <w:rFonts w:ascii="Palatino Linotype" w:hAnsi="Palatino Linotype"/>
          <w:i/>
          <w:lang w:val="es-ES_tradnl" w:eastAsia="es-ES"/>
        </w:rPr>
        <w:t>“</w:t>
      </w:r>
      <w:r w:rsidRPr="005413BD">
        <w:rPr>
          <w:rFonts w:ascii="Palatino Linotype" w:hAnsi="Palatino Linotype"/>
          <w:i/>
          <w:lang w:val="es-ES_tradnl" w:eastAsia="es-ES"/>
        </w:rPr>
        <w:t>Metepec, México a 26 de Septiembre de 2018</w:t>
      </w:r>
    </w:p>
    <w:p w:rsidR="005413BD" w:rsidRPr="005413BD" w:rsidRDefault="005413BD" w:rsidP="005413BD">
      <w:pPr>
        <w:pStyle w:val="Sinespaciado"/>
        <w:ind w:left="851" w:right="567"/>
        <w:jc w:val="right"/>
        <w:rPr>
          <w:rFonts w:ascii="Palatino Linotype" w:hAnsi="Palatino Linotype"/>
          <w:i/>
          <w:lang w:val="es-ES_tradnl" w:eastAsia="es-ES"/>
        </w:rPr>
      </w:pPr>
      <w:r w:rsidRPr="005413BD">
        <w:rPr>
          <w:rFonts w:ascii="Palatino Linotype" w:hAnsi="Palatino Linotype"/>
          <w:i/>
          <w:lang w:val="es-ES_tradnl" w:eastAsia="es-ES"/>
        </w:rPr>
        <w:t xml:space="preserve">Nombre del solicitante: </w:t>
      </w:r>
      <w:r w:rsidR="002D590D" w:rsidRPr="002D590D">
        <w:rPr>
          <w:rFonts w:ascii="Palatino Linotype" w:hAnsi="Palatino Linotype"/>
          <w:i/>
          <w:highlight w:val="black"/>
          <w:lang w:val="es-ES_tradnl" w:eastAsia="es-ES"/>
        </w:rPr>
        <w:t>--------------------------------------------</w:t>
      </w:r>
    </w:p>
    <w:p w:rsidR="005413BD" w:rsidRPr="005413BD" w:rsidRDefault="005413BD" w:rsidP="005413BD">
      <w:pPr>
        <w:pStyle w:val="Sinespaciado"/>
        <w:ind w:left="851" w:right="567"/>
        <w:jc w:val="right"/>
        <w:rPr>
          <w:rFonts w:ascii="Palatino Linotype" w:hAnsi="Palatino Linotype"/>
          <w:i/>
          <w:lang w:val="es-ES_tradnl" w:eastAsia="es-ES"/>
        </w:rPr>
      </w:pPr>
      <w:r w:rsidRPr="005413BD">
        <w:rPr>
          <w:rFonts w:ascii="Palatino Linotype" w:hAnsi="Palatino Linotype"/>
          <w:i/>
          <w:lang w:val="es-ES_tradnl" w:eastAsia="es-ES"/>
        </w:rPr>
        <w:t>Folio de la solicitud: 00169/SM/IP/2018</w:t>
      </w:r>
    </w:p>
    <w:p w:rsidR="005413BD" w:rsidRDefault="005413BD" w:rsidP="005413BD">
      <w:pPr>
        <w:pStyle w:val="Sinespaciado"/>
        <w:ind w:left="851" w:right="567"/>
        <w:jc w:val="both"/>
        <w:rPr>
          <w:rFonts w:ascii="Palatino Linotype" w:hAnsi="Palatino Linotype"/>
          <w:i/>
          <w:lang w:val="es-ES_tradnl" w:eastAsia="es-ES"/>
        </w:rPr>
      </w:pPr>
    </w:p>
    <w:p w:rsidR="005413BD" w:rsidRPr="005413BD" w:rsidRDefault="005413BD" w:rsidP="005413BD">
      <w:pPr>
        <w:pStyle w:val="Sinespaciado"/>
        <w:ind w:left="851" w:right="567"/>
        <w:jc w:val="both"/>
        <w:rPr>
          <w:rFonts w:ascii="Palatino Linotype" w:hAnsi="Palatino Linotype"/>
          <w:i/>
          <w:lang w:val="es-ES_tradnl" w:eastAsia="es-ES"/>
        </w:rPr>
      </w:pPr>
      <w:r w:rsidRPr="005413BD">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413BD" w:rsidRDefault="005413BD" w:rsidP="005413BD">
      <w:pPr>
        <w:pStyle w:val="Sinespaciado"/>
        <w:ind w:left="851" w:right="567"/>
        <w:jc w:val="both"/>
        <w:rPr>
          <w:rFonts w:ascii="Palatino Linotype" w:hAnsi="Palatino Linotype"/>
          <w:i/>
          <w:lang w:val="es-ES_tradnl" w:eastAsia="es-ES"/>
        </w:rPr>
      </w:pPr>
    </w:p>
    <w:p w:rsidR="005413BD" w:rsidRPr="005413BD" w:rsidRDefault="005413BD" w:rsidP="005413BD">
      <w:pPr>
        <w:pStyle w:val="Sinespaciado"/>
        <w:ind w:left="851" w:right="567"/>
        <w:jc w:val="both"/>
        <w:rPr>
          <w:rFonts w:ascii="Palatino Linotype" w:hAnsi="Palatino Linotype"/>
          <w:i/>
          <w:lang w:val="es-ES_tradnl" w:eastAsia="es-ES"/>
        </w:rPr>
      </w:pPr>
      <w:r w:rsidRPr="005413BD">
        <w:rPr>
          <w:rFonts w:ascii="Palatino Linotype" w:hAnsi="Palatino Linotype"/>
          <w:i/>
          <w:lang w:val="es-ES_tradnl" w:eastAsia="es-ES"/>
        </w:rPr>
        <w:t xml:space="preserve">En respuesta a su petición número 00169/SM/IP/2018, a través de la cual solicitó sea entregado vía electrónica, el padrón o listado de vehículos particulares y de transporte </w:t>
      </w:r>
      <w:r w:rsidRPr="005413BD">
        <w:rPr>
          <w:rFonts w:ascii="Palatino Linotype" w:hAnsi="Palatino Linotype"/>
          <w:i/>
          <w:lang w:val="es-ES_tradnl" w:eastAsia="es-ES"/>
        </w:rPr>
        <w:lastRenderedPageBreak/>
        <w:t xml:space="preserve">público que conforma el parque vehicular de su Estado, solicitando exclusivamente el modelo y marca del vehículo, así como el número de placa del mismo. Con respecto al número de placa, se solicita exclusivamente el número de placa y no información personal del propietario del vehículo, manifestando que al estudiar la normativa de transparencia y acceso a la información pública, se ha identificado que la excepción a la regla de los datos personales es aquella información de carácter público, y si bien el número de placa no está identificado como tal, es información que debe ser visible tanto en la parte frontal y/o trasera de los vehículos que conforman el padrón vehicular de un Estado, el cual permita o facilite su reconocimiento, teniendo el propósito de que los vehículos automotores que circulan en el territorio nacional, se encuentren debidamente identificados para comprobar la legal posesión de los mismos, siendo información de interés público de conformidad con la Norma Oficial Mexicana NOM-001-SCT-2-2016, PLACAS METÁLICAS, CALCOMANÍAS DE IDENTIFICACIÓN Y TARJETAS DE CIRCULACIÓN EMPLEADAS EN AUTOMÓVILES, TRACTOCAMIONES, AUTOBUSES, CAMIONES, MOTOCICLETAS, REMOLQUES, SEMIRREMOLQUES, CONVERTIDORES Y GRÚAS, MATRICULADOS EN LA REPÚBLICA MEXICANA, LICENCIA FEDERAL DE CONDUCTOR, CALCOMANÍA DE VERIFICACIÓN FÍSICO-MECÁNICA, LISTADO DE SERIES ASIGNADAS POR TIPO DE VEHÍCULO, SERVICIO Y ENTIDAD FEDERATIVA O DEPENDENCIA DE GOBIERNO, ESPECIFICACIONES Y MÉTODO DE PRUEBA. En virtud de lo anterior, es evidente que al entregar el número de placa no se está revelando información alguna del particular, además de que se tiene conocimiento de que el gobierno de su Estado, ha implementado medidas de seguridad en sus sitios oficiales, brindando protección y resguardo de los datos personales de los contribuyentes, por lo que no es posible obtener datos personales al ingresar las placas en ninguno de sus portales (sin que se cuente más información que únicamente el particular posee), razón por la cual no existe causa justificada para que no me sea entregada la información solicitada, de conformidad con lo dispuesto en los artículos 8 y 16 de la Constitución Política de los Estados Unidos Mexicanos; 3, 15, 19 fracción XVI de la Ley Orgánica de la Administración Pública del Estado de México; 1, 2, 3, 5, 9 y 10 del Reglamento Interior de la Secretaría de Movilidad del Estado de México; 7 fracción I, 11, 12, 41, 53 fracciones I, II y V, 75, 150, 151 y 163 de la Ley de Transparencia y Acceso a la Información Pública del Estado de México y Municipios, hago de su conocimiento lo siguiente: El Director General de Registro Estatal de Transporte Público informo a la que suscribe que es menester hacer de su conocimiento que uno de los parámetros bajo los que se generan las búsquedas en los archivos digitales del Sistema Integral </w:t>
      </w:r>
      <w:r w:rsidRPr="005413BD">
        <w:rPr>
          <w:rFonts w:ascii="Palatino Linotype" w:hAnsi="Palatino Linotype"/>
          <w:i/>
          <w:lang w:val="es-ES_tradnl" w:eastAsia="es-ES"/>
        </w:rPr>
        <w:lastRenderedPageBreak/>
        <w:t>de Concesiones que resguarda esta unidad administrativa es placa asignada a los vehículos dados de alta para la prestación del servicio de transporte público; por lo que atendiendo a su requerimiento se realizó la búsqueda a través de dicho rubro, encontrando datos relativos a su pedimento; misma que se adjunta al presente. No omito mencionar que el uso de la información es responsabilidad del peticionario. Sin más por el momento, le envío un cordial saludo.</w:t>
      </w:r>
    </w:p>
    <w:p w:rsidR="005413BD" w:rsidRDefault="005413BD" w:rsidP="005413BD">
      <w:pPr>
        <w:pStyle w:val="Sinespaciado"/>
        <w:ind w:left="851" w:right="567"/>
        <w:jc w:val="both"/>
        <w:rPr>
          <w:rFonts w:ascii="Palatino Linotype" w:hAnsi="Palatino Linotype"/>
          <w:i/>
          <w:lang w:val="es-ES_tradnl" w:eastAsia="es-ES"/>
        </w:rPr>
      </w:pPr>
    </w:p>
    <w:p w:rsidR="005413BD" w:rsidRPr="005413BD" w:rsidRDefault="005413BD" w:rsidP="005413BD">
      <w:pPr>
        <w:pStyle w:val="Sinespaciado"/>
        <w:ind w:left="851" w:right="567"/>
        <w:jc w:val="both"/>
        <w:rPr>
          <w:rFonts w:ascii="Palatino Linotype" w:hAnsi="Palatino Linotype"/>
          <w:i/>
          <w:lang w:val="es-ES_tradnl" w:eastAsia="es-ES"/>
        </w:rPr>
      </w:pPr>
      <w:r w:rsidRPr="005413BD">
        <w:rPr>
          <w:rFonts w:ascii="Palatino Linotype" w:hAnsi="Palatino Linotype"/>
          <w:i/>
          <w:lang w:val="es-ES_tradnl" w:eastAsia="es-ES"/>
        </w:rPr>
        <w:t>ATENTAMENTE</w:t>
      </w:r>
    </w:p>
    <w:p w:rsidR="00AE4797" w:rsidRPr="008E4128" w:rsidRDefault="005413BD" w:rsidP="005413BD">
      <w:pPr>
        <w:pStyle w:val="Sinespaciado"/>
        <w:ind w:left="851" w:right="567"/>
        <w:jc w:val="both"/>
        <w:rPr>
          <w:rFonts w:ascii="Palatino Linotype" w:hAnsi="Palatino Linotype"/>
          <w:i/>
          <w:lang w:val="es-ES_tradnl" w:eastAsia="es-ES"/>
        </w:rPr>
      </w:pPr>
      <w:r w:rsidRPr="005413BD">
        <w:rPr>
          <w:rFonts w:ascii="Palatino Linotype" w:hAnsi="Palatino Linotype"/>
          <w:i/>
          <w:lang w:val="es-ES_tradnl" w:eastAsia="es-ES"/>
        </w:rPr>
        <w:t>Norma Sofía Pérez Martínez</w:t>
      </w:r>
      <w:r w:rsidR="009B4E7D" w:rsidRPr="008E4128">
        <w:rPr>
          <w:rFonts w:ascii="Palatino Linotype" w:hAnsi="Palatino Linotype"/>
          <w:i/>
          <w:lang w:val="es-ES_tradnl" w:eastAsia="es-ES"/>
        </w:rPr>
        <w:t xml:space="preserve">” </w:t>
      </w:r>
      <w:r w:rsidR="009B4E7D" w:rsidRPr="00FF3CDD">
        <w:rPr>
          <w:rFonts w:ascii="Palatino Linotype" w:hAnsi="Palatino Linotype"/>
          <w:lang w:val="es-ES_tradnl" w:eastAsia="es-ES"/>
        </w:rPr>
        <w:t>(Sic)</w:t>
      </w:r>
      <w:r w:rsidR="00FF3CDD">
        <w:rPr>
          <w:rFonts w:ascii="Palatino Linotype" w:hAnsi="Palatino Linotype"/>
          <w:lang w:val="es-ES_tradnl" w:eastAsia="es-ES"/>
        </w:rPr>
        <w:t>.</w:t>
      </w:r>
    </w:p>
    <w:p w:rsidR="00E35329" w:rsidRDefault="00E35329"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E35329" w:rsidRPr="00E35329" w:rsidRDefault="00E35329" w:rsidP="00E35329">
      <w:pPr>
        <w:pStyle w:val="Prrafodelista"/>
        <w:numPr>
          <w:ilvl w:val="0"/>
          <w:numId w:val="15"/>
        </w:numPr>
        <w:spacing w:after="0" w:line="360" w:lineRule="auto"/>
        <w:ind w:left="567" w:right="616" w:hanging="283"/>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t xml:space="preserve">A dicha respuesta se </w:t>
      </w:r>
      <w:r w:rsidR="00FF3CDD">
        <w:rPr>
          <w:rFonts w:ascii="Palatino Linotype" w:eastAsia="Times New Roman" w:hAnsi="Palatino Linotype" w:cs="Times New Roman"/>
          <w:sz w:val="24"/>
          <w:szCs w:val="24"/>
          <w:lang w:val="es-ES_tradnl" w:eastAsia="es-ES"/>
        </w:rPr>
        <w:t xml:space="preserve">anexó el archivo en formato </w:t>
      </w:r>
      <w:r w:rsidR="00FF3CDD">
        <w:rPr>
          <w:rFonts w:ascii="Palatino Linotype" w:eastAsia="Times New Roman" w:hAnsi="Palatino Linotype" w:cs="Times New Roman"/>
          <w:i/>
          <w:sz w:val="24"/>
          <w:szCs w:val="24"/>
          <w:lang w:val="es-ES_tradnl" w:eastAsia="es-ES"/>
        </w:rPr>
        <w:t>PDF</w:t>
      </w:r>
      <w:r w:rsidR="00FF3CDD">
        <w:rPr>
          <w:rFonts w:ascii="Palatino Linotype" w:eastAsia="Times New Roman" w:hAnsi="Palatino Linotype" w:cs="Times New Roman"/>
          <w:sz w:val="24"/>
          <w:szCs w:val="24"/>
          <w:lang w:val="es-ES_tradnl" w:eastAsia="es-ES"/>
        </w:rPr>
        <w:t xml:space="preserve"> denominado </w:t>
      </w:r>
      <w:r w:rsidR="00FF3CDD">
        <w:rPr>
          <w:rFonts w:ascii="Palatino Linotype" w:eastAsia="Times New Roman" w:hAnsi="Palatino Linotype" w:cs="Times New Roman"/>
          <w:b/>
          <w:i/>
          <w:sz w:val="24"/>
          <w:szCs w:val="24"/>
          <w:lang w:val="es-ES_tradnl" w:eastAsia="es-ES"/>
        </w:rPr>
        <w:t>“P</w:t>
      </w:r>
      <w:r w:rsidR="005413BD">
        <w:rPr>
          <w:rFonts w:ascii="Palatino Linotype" w:eastAsia="Times New Roman" w:hAnsi="Palatino Linotype" w:cs="Times New Roman"/>
          <w:b/>
          <w:i/>
          <w:sz w:val="24"/>
          <w:szCs w:val="24"/>
          <w:lang w:val="es-ES_tradnl" w:eastAsia="es-ES"/>
        </w:rPr>
        <w:t>ADRÓN VEHICULAR</w:t>
      </w:r>
      <w:r w:rsidR="00FF3CDD">
        <w:rPr>
          <w:rFonts w:ascii="Palatino Linotype" w:eastAsia="Times New Roman" w:hAnsi="Palatino Linotype" w:cs="Times New Roman"/>
          <w:b/>
          <w:i/>
          <w:sz w:val="24"/>
          <w:szCs w:val="24"/>
          <w:lang w:val="es-ES_tradnl" w:eastAsia="es-ES"/>
        </w:rPr>
        <w:t>.PDF”</w:t>
      </w:r>
      <w:r w:rsidR="00FF3CDD">
        <w:rPr>
          <w:rFonts w:ascii="Palatino Linotype" w:eastAsia="Times New Roman" w:hAnsi="Palatino Linotype" w:cs="Times New Roman"/>
          <w:sz w:val="24"/>
          <w:szCs w:val="24"/>
          <w:lang w:val="es-ES_tradnl" w:eastAsia="es-ES"/>
        </w:rPr>
        <w:t xml:space="preserve">, </w:t>
      </w:r>
      <w:r w:rsidR="005413BD">
        <w:rPr>
          <w:rFonts w:ascii="Palatino Linotype" w:eastAsia="Times New Roman" w:hAnsi="Palatino Linotype" w:cs="Times New Roman"/>
          <w:sz w:val="24"/>
          <w:szCs w:val="24"/>
          <w:lang w:val="es-ES_tradnl" w:eastAsia="es-ES"/>
        </w:rPr>
        <w:t xml:space="preserve">por duplicado, </w:t>
      </w:r>
      <w:r w:rsidR="004010CE">
        <w:rPr>
          <w:rFonts w:ascii="Palatino Linotype" w:eastAsia="Times New Roman" w:hAnsi="Palatino Linotype" w:cs="Times New Roman"/>
          <w:sz w:val="24"/>
          <w:szCs w:val="24"/>
          <w:lang w:val="es-ES_tradnl" w:eastAsia="es-ES"/>
        </w:rPr>
        <w:t>el cual consta de tres mil ciento veintisiete (3,127) fojas, las cuales desglosan el padrón de vehículos de transporte público dados de alta ante la Secretaría de Movilidad</w:t>
      </w:r>
      <w:r w:rsidR="00734C24">
        <w:rPr>
          <w:rFonts w:ascii="Palatino Linotype" w:eastAsia="Times New Roman" w:hAnsi="Palatino Linotype" w:cs="Times New Roman"/>
          <w:sz w:val="24"/>
          <w:szCs w:val="24"/>
          <w:lang w:val="es-ES_tradnl" w:eastAsia="es-ES"/>
        </w:rPr>
        <w:t>.</w:t>
      </w: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94239C" w:rsidRPr="00444048" w:rsidRDefault="0046491C"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AE4797" w:rsidRPr="00444048">
        <w:rPr>
          <w:rFonts w:ascii="Palatino Linotype" w:hAnsi="Palatino Linotype" w:cs="Arial"/>
        </w:rPr>
        <w:t xml:space="preserve">el </w:t>
      </w:r>
      <w:r w:rsidR="004010CE">
        <w:rPr>
          <w:rFonts w:ascii="Palatino Linotype" w:hAnsi="Palatino Linotype" w:cs="Arial"/>
        </w:rPr>
        <w:t xml:space="preserve">particular, por medio del recurso de revisión </w:t>
      </w:r>
      <w:r w:rsidR="004010CE">
        <w:rPr>
          <w:rFonts w:ascii="Palatino Linotype" w:hAnsi="Palatino Linotype" w:cs="Arial"/>
          <w:b/>
        </w:rPr>
        <w:t>03645/INFOEM/IP/RR/2018</w:t>
      </w:r>
      <w:r w:rsidR="004010CE">
        <w:rPr>
          <w:rFonts w:ascii="Palatino Linotype" w:hAnsi="Palatino Linotype" w:cs="Arial"/>
        </w:rPr>
        <w:t>,</w:t>
      </w:r>
      <w:r w:rsidR="005F3760">
        <w:rPr>
          <w:rFonts w:ascii="Palatino Linotype" w:hAnsi="Palatino Linotype" w:cs="Arial"/>
        </w:rPr>
        <w:t xml:space="preserve"> ya no se duele por la totalidad de la información que </w:t>
      </w:r>
      <w:r w:rsidR="004010CE">
        <w:rPr>
          <w:rFonts w:ascii="Palatino Linotype" w:hAnsi="Palatino Linotype" w:cs="Arial"/>
        </w:rPr>
        <w:t>solicitó en un inicio</w:t>
      </w:r>
      <w:r w:rsidR="005F3760">
        <w:rPr>
          <w:rFonts w:ascii="Palatino Linotype" w:hAnsi="Palatino Linotype" w:cs="Arial"/>
        </w:rPr>
        <w:t xml:space="preserve">, </w:t>
      </w:r>
      <w:r w:rsidR="00734C24">
        <w:rPr>
          <w:rFonts w:ascii="Palatino Linotype" w:hAnsi="Palatino Linotype" w:cs="Arial"/>
        </w:rPr>
        <w:t>sino que denuncia</w:t>
      </w:r>
      <w:r w:rsidR="005F3760">
        <w:rPr>
          <w:rFonts w:ascii="Palatino Linotype" w:hAnsi="Palatino Linotype" w:cs="Arial"/>
        </w:rPr>
        <w:t xml:space="preserve"> únicamente</w:t>
      </w:r>
      <w:r w:rsidR="004010CE">
        <w:rPr>
          <w:rFonts w:ascii="Palatino Linotype" w:hAnsi="Palatino Linotype" w:cs="Arial"/>
        </w:rPr>
        <w:t xml:space="preserve"> que el </w:t>
      </w:r>
      <w:r w:rsidR="004010CE">
        <w:rPr>
          <w:rFonts w:ascii="Palatino Linotype" w:hAnsi="Palatino Linotype" w:cs="Arial"/>
          <w:b/>
        </w:rPr>
        <w:t>SUJETO OBLIGADO</w:t>
      </w:r>
      <w:r w:rsidR="004010CE">
        <w:rPr>
          <w:rFonts w:ascii="Palatino Linotype" w:hAnsi="Palatino Linotype" w:cs="Arial"/>
        </w:rPr>
        <w:t xml:space="preserve"> omitió entregar el </w:t>
      </w:r>
      <w:r w:rsidR="004010CE" w:rsidRPr="004010CE">
        <w:rPr>
          <w:rFonts w:ascii="Palatino Linotype" w:hAnsi="Palatino Linotype" w:cs="Arial"/>
          <w:i/>
        </w:rPr>
        <w:t>“(…) padrón o listado de vehículos particulares que conforma el parque vehicular de su Estado (…)</w:t>
      </w:r>
      <w:r w:rsidR="004010CE">
        <w:rPr>
          <w:rFonts w:ascii="Palatino Linotype" w:hAnsi="Palatino Linotype" w:cs="Arial"/>
        </w:rPr>
        <w:t>”</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46491C" w:rsidRDefault="005C79C8"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734C24">
        <w:rPr>
          <w:rFonts w:ascii="Palatino Linotype" w:hAnsi="Palatino Linotype" w:cs="Arial"/>
          <w:sz w:val="24"/>
          <w:szCs w:val="24"/>
        </w:rPr>
        <w:t>atendió a</w:t>
      </w:r>
      <w:r w:rsidR="00E30CD7">
        <w:rPr>
          <w:rFonts w:ascii="Palatino Linotype" w:hAnsi="Palatino Linotype" w:cs="Arial"/>
          <w:sz w:val="24"/>
          <w:szCs w:val="24"/>
        </w:rPr>
        <w:t xml:space="preserve"> </w:t>
      </w:r>
      <w:r w:rsidR="00734C24">
        <w:rPr>
          <w:rFonts w:ascii="Palatino Linotype" w:hAnsi="Palatino Linotype" w:cs="Arial"/>
          <w:sz w:val="24"/>
          <w:szCs w:val="24"/>
        </w:rPr>
        <w:t>la solicitud de información</w:t>
      </w:r>
      <w:r w:rsidR="005F3760">
        <w:rPr>
          <w:rFonts w:ascii="Palatino Linotype" w:hAnsi="Palatino Linotype" w:cs="Arial"/>
          <w:sz w:val="24"/>
          <w:szCs w:val="24"/>
        </w:rPr>
        <w:t xml:space="preserve"> de forma parcial</w:t>
      </w:r>
      <w:r w:rsidR="00AE4797">
        <w:rPr>
          <w:rFonts w:ascii="Palatino Linotype" w:hAnsi="Palatino Linotype" w:cs="Arial"/>
          <w:sz w:val="24"/>
          <w:szCs w:val="24"/>
        </w:rPr>
        <w:t xml:space="preserve">, </w:t>
      </w:r>
      <w:r w:rsidR="004010CE">
        <w:rPr>
          <w:rFonts w:ascii="Palatino Linotype" w:hAnsi="Palatino Linotype" w:cs="Arial"/>
          <w:sz w:val="24"/>
          <w:szCs w:val="24"/>
        </w:rPr>
        <w:t xml:space="preserve">ya que al no manifestar su incompetencia para generar, poseer o administrar información relacionada con vehículos particulares, la Ponencia </w:t>
      </w:r>
      <w:proofErr w:type="spellStart"/>
      <w:r w:rsidR="004010CE">
        <w:rPr>
          <w:rFonts w:ascii="Palatino Linotype" w:hAnsi="Palatino Linotype" w:cs="Arial"/>
          <w:sz w:val="24"/>
          <w:szCs w:val="24"/>
        </w:rPr>
        <w:t>Resolutora</w:t>
      </w:r>
      <w:proofErr w:type="spellEnd"/>
      <w:r w:rsidR="004010CE">
        <w:rPr>
          <w:rFonts w:ascii="Palatino Linotype" w:hAnsi="Palatino Linotype" w:cs="Arial"/>
          <w:sz w:val="24"/>
          <w:szCs w:val="24"/>
        </w:rPr>
        <w:t xml:space="preserve"> determinó ordenar la entrega del acuerdo del Comité de Transparencia en el que confirme su incompetencia al respecto; </w:t>
      </w:r>
      <w:r w:rsidR="00AE4797">
        <w:rPr>
          <w:rFonts w:ascii="Palatino Linotype" w:hAnsi="Palatino Linotype" w:cs="Arial"/>
          <w:sz w:val="24"/>
          <w:szCs w:val="24"/>
        </w:rPr>
        <w:t xml:space="preserve">sin embargo, </w:t>
      </w:r>
      <w:r w:rsidR="0046491C" w:rsidRPr="0001046D">
        <w:rPr>
          <w:rFonts w:ascii="Palatino Linotype" w:hAnsi="Palatino Linotype" w:cs="Arial"/>
          <w:sz w:val="24"/>
          <w:szCs w:val="24"/>
        </w:rPr>
        <w:t xml:space="preserve">en el </w:t>
      </w:r>
      <w:r w:rsidR="0046491C" w:rsidRPr="0001046D">
        <w:rPr>
          <w:rFonts w:ascii="Palatino Linotype" w:hAnsi="Palatino Linotype" w:cs="Arial"/>
          <w:sz w:val="24"/>
          <w:szCs w:val="24"/>
        </w:rPr>
        <w:lastRenderedPageBreak/>
        <w:t>estudio y desarrollo de dicha resolución fueron invocados los llamados actos consentidos, tal y como se observa en las siguientes líneas de la resolución en comento:</w:t>
      </w:r>
    </w:p>
    <w:p w:rsidR="00E30CD7" w:rsidRDefault="00E30CD7" w:rsidP="00E30CD7">
      <w:pPr>
        <w:pStyle w:val="Sinespaciado"/>
        <w:jc w:val="both"/>
        <w:rPr>
          <w:rFonts w:ascii="Palatino Linotype" w:hAnsi="Palatino Linotype"/>
        </w:rPr>
      </w:pPr>
    </w:p>
    <w:p w:rsidR="004010CE" w:rsidRPr="004010CE" w:rsidRDefault="00E30CD7" w:rsidP="004010CE">
      <w:pPr>
        <w:pStyle w:val="Sinespaciado"/>
        <w:ind w:left="851" w:right="567"/>
        <w:jc w:val="both"/>
        <w:rPr>
          <w:rFonts w:ascii="Palatino Linotype" w:hAnsi="Palatino Linotype"/>
          <w:i/>
        </w:rPr>
      </w:pPr>
      <w:r>
        <w:rPr>
          <w:rFonts w:ascii="Palatino Linotype" w:hAnsi="Palatino Linotype"/>
          <w:i/>
        </w:rPr>
        <w:t>“</w:t>
      </w:r>
      <w:r w:rsidR="004010CE" w:rsidRPr="004010CE">
        <w:rPr>
          <w:rFonts w:ascii="Palatino Linotype" w:hAnsi="Palatino Linotype"/>
          <w:i/>
        </w:rPr>
        <w:t>En el caso en concreto, el Sujeto Obligado remitió el Padrón de Vehículos de Transporte Público, en el que se observan los datos solicitados por el particular, lo anterior con base en sus facultades y atribuciones conferidas en el Reglamento Interior de la Secretaría de Movilidad, en específico de la Dirección General del Registro Estatal de Transporte Público, la cual, de acuerdo al artículo 24 fracción XIII del Reglamento referido, le corresponde dirigir y coordinar las funciones del Registro Estatal de Transporte Público .</w:t>
      </w:r>
    </w:p>
    <w:p w:rsidR="004010CE" w:rsidRPr="004010CE" w:rsidRDefault="004010CE" w:rsidP="004010CE">
      <w:pPr>
        <w:pStyle w:val="Sinespaciado"/>
        <w:ind w:left="851" w:right="567"/>
        <w:jc w:val="both"/>
        <w:rPr>
          <w:rFonts w:ascii="Palatino Linotype" w:hAnsi="Palatino Linotype"/>
          <w:i/>
        </w:rPr>
      </w:pPr>
    </w:p>
    <w:p w:rsidR="004010CE" w:rsidRPr="004010CE" w:rsidRDefault="004010CE" w:rsidP="004010CE">
      <w:pPr>
        <w:pStyle w:val="Sinespaciado"/>
        <w:ind w:left="851" w:right="567"/>
        <w:jc w:val="both"/>
        <w:rPr>
          <w:rFonts w:ascii="Palatino Linotype" w:hAnsi="Palatino Linotype"/>
          <w:i/>
        </w:rPr>
      </w:pPr>
      <w:r w:rsidRPr="004010CE">
        <w:rPr>
          <w:rFonts w:ascii="Palatino Linotype" w:hAnsi="Palatino Linotype"/>
          <w:i/>
        </w:rPr>
        <w:t>En este punto, es importante resaltar el hecho de que el Recurrente no se inconformó ante la información presentada, sino que consideró que la respuesta fue incompleta al no habérsele entregado los datos concernientes al padrón de vehículos particulares, por lo que se puede inferir que el Recurrente está conforme con la respuesta dada por el Sujeto Obligado respecto a dicho punto, lo cual implica que consintió parcialmente la respuesta. 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4010CE" w:rsidRPr="004010CE" w:rsidRDefault="004010CE" w:rsidP="004010CE">
      <w:pPr>
        <w:pStyle w:val="Sinespaciado"/>
        <w:ind w:left="851" w:right="567"/>
        <w:jc w:val="both"/>
        <w:rPr>
          <w:rFonts w:ascii="Palatino Linotype" w:hAnsi="Palatino Linotype"/>
          <w:i/>
        </w:rPr>
      </w:pPr>
    </w:p>
    <w:p w:rsidR="004010CE" w:rsidRPr="004010CE" w:rsidRDefault="004010CE" w:rsidP="004010CE">
      <w:pPr>
        <w:pStyle w:val="Sinespaciado"/>
        <w:ind w:left="1134" w:right="900"/>
        <w:jc w:val="both"/>
        <w:rPr>
          <w:rFonts w:ascii="Palatino Linotype" w:hAnsi="Palatino Linotype"/>
          <w:i/>
        </w:rPr>
      </w:pPr>
      <w:r w:rsidRPr="004010CE">
        <w:rPr>
          <w:rFonts w:ascii="Palatino Linotype" w:hAnsi="Palatino Linotype"/>
          <w:i/>
        </w:rPr>
        <w:t>“</w:t>
      </w:r>
      <w:r w:rsidRPr="004010CE">
        <w:rPr>
          <w:rFonts w:ascii="Palatino Linotype" w:hAnsi="Palatino Linotype"/>
          <w:b/>
          <w:i/>
        </w:rPr>
        <w:t>REVISIÓN EN AMPARO. LOS RESOLUTIVOS NO COMBATIDOS DEBEN DECLARARSE FIRMES.</w:t>
      </w:r>
      <w:r w:rsidRPr="004010CE">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010CE" w:rsidRPr="004010CE" w:rsidRDefault="004010CE" w:rsidP="004010CE">
      <w:pPr>
        <w:pStyle w:val="Sinespaciado"/>
        <w:ind w:left="851" w:right="567"/>
        <w:jc w:val="both"/>
        <w:rPr>
          <w:rFonts w:ascii="Palatino Linotype" w:hAnsi="Palatino Linotype"/>
          <w:i/>
        </w:rPr>
      </w:pPr>
    </w:p>
    <w:p w:rsidR="004010CE" w:rsidRPr="004010CE" w:rsidRDefault="004010CE" w:rsidP="004010CE">
      <w:pPr>
        <w:pStyle w:val="Sinespaciado"/>
        <w:ind w:left="851" w:right="567"/>
        <w:jc w:val="both"/>
        <w:rPr>
          <w:rFonts w:ascii="Palatino Linotype" w:hAnsi="Palatino Linotype"/>
          <w:i/>
        </w:rPr>
      </w:pPr>
      <w:r w:rsidRPr="004010CE">
        <w:rPr>
          <w:rFonts w:ascii="Palatino Linotype" w:hAnsi="Palatino Linotype"/>
          <w:i/>
        </w:rPr>
        <w:lastRenderedPageBreak/>
        <w:t>Así, la parte de la solicitud sobre la que no se expresó inconformidad, debe declararse consentida por la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4010CE" w:rsidRPr="004010CE" w:rsidRDefault="004010CE" w:rsidP="004010CE">
      <w:pPr>
        <w:pStyle w:val="Sinespaciado"/>
        <w:ind w:left="851" w:right="567"/>
        <w:jc w:val="both"/>
        <w:rPr>
          <w:rFonts w:ascii="Palatino Linotype" w:hAnsi="Palatino Linotype"/>
          <w:i/>
        </w:rPr>
      </w:pPr>
    </w:p>
    <w:p w:rsidR="004010CE" w:rsidRPr="004010CE" w:rsidRDefault="004010CE" w:rsidP="004010CE">
      <w:pPr>
        <w:pStyle w:val="Sinespaciado"/>
        <w:ind w:left="1134" w:right="900"/>
        <w:jc w:val="both"/>
        <w:rPr>
          <w:rFonts w:ascii="Palatino Linotype" w:hAnsi="Palatino Linotype"/>
          <w:i/>
        </w:rPr>
      </w:pPr>
      <w:r w:rsidRPr="004010CE">
        <w:rPr>
          <w:rFonts w:ascii="Palatino Linotype" w:hAnsi="Palatino Linotype"/>
          <w:i/>
        </w:rPr>
        <w:t>“</w:t>
      </w:r>
      <w:r w:rsidRPr="004010CE">
        <w:rPr>
          <w:rFonts w:ascii="Palatino Linotype" w:hAnsi="Palatino Linotype"/>
          <w:b/>
          <w:i/>
        </w:rPr>
        <w:t>ACTOS CONSENTIDOS. SON LOS QUE NO SE IMPUGNAN MEDIANTE EL RECURSO IDÓNEO.</w:t>
      </w:r>
      <w:r w:rsidRPr="004010CE">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010CE" w:rsidRPr="004010CE" w:rsidRDefault="004010CE" w:rsidP="004010CE">
      <w:pPr>
        <w:pStyle w:val="Sinespaciado"/>
        <w:ind w:left="851" w:right="567"/>
        <w:jc w:val="both"/>
        <w:rPr>
          <w:rFonts w:ascii="Palatino Linotype" w:hAnsi="Palatino Linotype"/>
          <w:i/>
        </w:rPr>
      </w:pPr>
    </w:p>
    <w:p w:rsidR="00E30CD7" w:rsidRPr="00E30CD7" w:rsidRDefault="004010CE" w:rsidP="004010CE">
      <w:pPr>
        <w:pStyle w:val="Sinespaciado"/>
        <w:ind w:left="851" w:right="567"/>
        <w:jc w:val="both"/>
        <w:rPr>
          <w:rFonts w:ascii="Palatino Linotype" w:hAnsi="Palatino Linotype"/>
          <w:i/>
        </w:rPr>
      </w:pPr>
      <w:r w:rsidRPr="004010CE">
        <w:rPr>
          <w:rFonts w:ascii="Palatino Linotype" w:hAnsi="Palatino Linotype"/>
          <w:i/>
        </w:rPr>
        <w:t>Así, el estudio debe limitarse a establecer si el Sujeto Obligado está en posibilidad de generar, poseer o administrar los documentos en el que conste el padrón de vehículos particulares.</w:t>
      </w:r>
      <w:r w:rsidR="00E30CD7" w:rsidRPr="00E30CD7">
        <w:rPr>
          <w:rFonts w:ascii="Palatino Linotype" w:hAnsi="Palatino Linotype"/>
          <w:i/>
        </w:rPr>
        <w:t>”</w:t>
      </w:r>
    </w:p>
    <w:p w:rsidR="00E30CD7" w:rsidRPr="00E30CD7" w:rsidRDefault="00E30CD7" w:rsidP="00E30CD7">
      <w:pPr>
        <w:pStyle w:val="Sinespaciado"/>
        <w:ind w:left="851" w:right="567"/>
        <w:jc w:val="both"/>
        <w:rPr>
          <w:rFonts w:ascii="Palatino Linotype" w:hAnsi="Palatino Linotype"/>
          <w:i/>
        </w:rPr>
      </w:pPr>
    </w:p>
    <w:p w:rsidR="005C79C8" w:rsidRPr="005C79C8" w:rsidRDefault="0046491C"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w:t>
      </w:r>
      <w:r w:rsidR="00734C24">
        <w:rPr>
          <w:rFonts w:ascii="Palatino Linotype" w:hAnsi="Palatino Linotype" w:cs="Arial"/>
          <w:sz w:val="24"/>
          <w:szCs w:val="24"/>
        </w:rPr>
        <w:t>mérito</w:t>
      </w:r>
      <w:r w:rsidRPr="0001046D">
        <w:rPr>
          <w:rFonts w:ascii="Palatino Linotype" w:hAnsi="Palatino Linotype" w:cs="Arial"/>
          <w:sz w:val="24"/>
          <w:szCs w:val="24"/>
        </w:rPr>
        <w:t xml:space="preserve"> resulta a todas luces innecesari</w:t>
      </w:r>
      <w:r w:rsidR="00E61AB8" w:rsidRPr="0001046D">
        <w:rPr>
          <w:rFonts w:ascii="Palatino Linotype" w:hAnsi="Palatino Linotype" w:cs="Arial"/>
          <w:sz w:val="24"/>
          <w:szCs w:val="24"/>
        </w:rPr>
        <w:t xml:space="preserve">o y además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5C79C8" w:rsidRDefault="005C79C8" w:rsidP="00734C24">
      <w:pPr>
        <w:pStyle w:val="Prrafodelista"/>
        <w:tabs>
          <w:tab w:val="left" w:pos="426"/>
        </w:tabs>
        <w:spacing w:before="240" w:after="240" w:line="360" w:lineRule="auto"/>
        <w:ind w:left="0" w:right="49"/>
        <w:jc w:val="both"/>
        <w:rPr>
          <w:rFonts w:ascii="Palatino Linotype" w:hAnsi="Palatino Linotype" w:cs="Arial"/>
          <w:sz w:val="24"/>
          <w:szCs w:val="24"/>
        </w:rPr>
      </w:pPr>
    </w:p>
    <w:p w:rsidR="00651380" w:rsidRPr="003974A7" w:rsidRDefault="0046491C" w:rsidP="00CC0316">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3974A7">
        <w:rPr>
          <w:rFonts w:ascii="Palatino Linotype" w:eastAsia="Calibri" w:hAnsi="Palatino Linotype" w:cs="Times New Roman"/>
          <w:sz w:val="24"/>
          <w:szCs w:val="24"/>
          <w:lang w:val="es-ES" w:eastAsia="es-ES"/>
        </w:rPr>
        <w:lastRenderedPageBreak/>
        <w:t xml:space="preserve">En el presente asunto que nos ocupa, es de señalar que del análisis hecho a la resolución en comento, </w:t>
      </w:r>
      <w:r w:rsidR="00E30CD7" w:rsidRPr="003974A7">
        <w:rPr>
          <w:rFonts w:ascii="Palatino Linotype" w:eastAsia="Calibri" w:hAnsi="Palatino Linotype" w:cs="Times New Roman"/>
          <w:sz w:val="24"/>
          <w:szCs w:val="24"/>
          <w:lang w:val="es-ES" w:eastAsia="es-ES"/>
        </w:rPr>
        <w:t>se arriba a la conclusión que el</w:t>
      </w:r>
      <w:r w:rsidRPr="003974A7">
        <w:rPr>
          <w:rFonts w:ascii="Palatino Linotype" w:eastAsia="Calibri" w:hAnsi="Palatino Linotype" w:cs="Times New Roman"/>
          <w:sz w:val="24"/>
          <w:szCs w:val="24"/>
          <w:lang w:val="es-ES" w:eastAsia="es-ES"/>
        </w:rPr>
        <w:t xml:space="preserve"> </w:t>
      </w:r>
      <w:r w:rsidRPr="003974A7">
        <w:rPr>
          <w:rFonts w:ascii="Palatino Linotype" w:eastAsia="Calibri" w:hAnsi="Palatino Linotype" w:cs="Times New Roman"/>
          <w:b/>
          <w:sz w:val="24"/>
          <w:szCs w:val="24"/>
          <w:lang w:val="es-ES" w:eastAsia="es-ES"/>
        </w:rPr>
        <w:t>SUJETO OBLIGADO</w:t>
      </w:r>
      <w:r w:rsidR="0007397C" w:rsidRPr="003974A7">
        <w:rPr>
          <w:rFonts w:ascii="Palatino Linotype" w:eastAsia="Calibri" w:hAnsi="Palatino Linotype" w:cs="Times New Roman"/>
          <w:b/>
          <w:sz w:val="24"/>
          <w:szCs w:val="24"/>
          <w:lang w:val="es-ES" w:eastAsia="es-ES"/>
        </w:rPr>
        <w:t xml:space="preserve">, </w:t>
      </w:r>
      <w:r w:rsidR="0007397C" w:rsidRPr="003974A7">
        <w:rPr>
          <w:rFonts w:ascii="Palatino Linotype" w:eastAsia="Calibri" w:hAnsi="Palatino Linotype" w:cs="Times New Roman"/>
          <w:sz w:val="24"/>
          <w:szCs w:val="24"/>
          <w:lang w:val="es-ES" w:eastAsia="es-ES"/>
        </w:rPr>
        <w:t>con su respuesta,</w:t>
      </w:r>
      <w:r w:rsidR="003974A7" w:rsidRPr="003974A7">
        <w:rPr>
          <w:rFonts w:ascii="Palatino Linotype" w:eastAsia="Calibri" w:hAnsi="Palatino Linotype" w:cs="Times New Roman"/>
          <w:sz w:val="24"/>
          <w:szCs w:val="24"/>
          <w:lang w:val="es-ES" w:eastAsia="es-ES"/>
        </w:rPr>
        <w:t xml:space="preserve"> atendió efectivamente el requerimiento recaído al “padrón de vehículos de transporte público", sin embargo, como bien fue manifestado por la Ponencia </w:t>
      </w:r>
      <w:proofErr w:type="spellStart"/>
      <w:r w:rsidR="003974A7" w:rsidRPr="003974A7">
        <w:rPr>
          <w:rFonts w:ascii="Palatino Linotype" w:eastAsia="Calibri" w:hAnsi="Palatino Linotype" w:cs="Times New Roman"/>
          <w:sz w:val="24"/>
          <w:szCs w:val="24"/>
          <w:lang w:val="es-ES" w:eastAsia="es-ES"/>
        </w:rPr>
        <w:t>Resolutora</w:t>
      </w:r>
      <w:proofErr w:type="spellEnd"/>
      <w:r w:rsidR="003974A7" w:rsidRPr="003974A7">
        <w:rPr>
          <w:rFonts w:ascii="Palatino Linotype" w:eastAsia="Calibri" w:hAnsi="Palatino Linotype" w:cs="Times New Roman"/>
          <w:sz w:val="24"/>
          <w:szCs w:val="24"/>
          <w:lang w:val="es-ES" w:eastAsia="es-ES"/>
        </w:rPr>
        <w:t xml:space="preserve">, la incompetencia del </w:t>
      </w:r>
      <w:r w:rsidR="003974A7" w:rsidRPr="003974A7">
        <w:rPr>
          <w:rFonts w:ascii="Palatino Linotype" w:eastAsia="Calibri" w:hAnsi="Palatino Linotype" w:cs="Times New Roman"/>
          <w:b/>
          <w:sz w:val="24"/>
          <w:szCs w:val="24"/>
          <w:lang w:val="es-ES" w:eastAsia="es-ES"/>
        </w:rPr>
        <w:t>SUJETO OBLIGADO</w:t>
      </w:r>
      <w:r w:rsidR="003974A7" w:rsidRPr="003974A7">
        <w:rPr>
          <w:rFonts w:ascii="Palatino Linotype" w:eastAsia="Calibri" w:hAnsi="Palatino Linotype" w:cs="Times New Roman"/>
          <w:sz w:val="24"/>
          <w:szCs w:val="24"/>
          <w:lang w:val="es-ES" w:eastAsia="es-ES"/>
        </w:rPr>
        <w:t xml:space="preserve"> para poseer, generar o administrar información relativa al “padrón de vehículos particulares” debió haber sido notificada al entonces </w:t>
      </w:r>
      <w:r w:rsidR="003974A7" w:rsidRPr="003974A7">
        <w:rPr>
          <w:rFonts w:ascii="Palatino Linotype" w:eastAsia="Calibri" w:hAnsi="Palatino Linotype" w:cs="Times New Roman"/>
          <w:b/>
          <w:sz w:val="24"/>
          <w:szCs w:val="24"/>
          <w:lang w:val="es-ES" w:eastAsia="es-ES"/>
        </w:rPr>
        <w:t>SOLICITANTE</w:t>
      </w:r>
      <w:r w:rsidR="003974A7" w:rsidRPr="003974A7">
        <w:rPr>
          <w:rFonts w:ascii="Palatino Linotype" w:eastAsia="Calibri" w:hAnsi="Palatino Linotype" w:cs="Times New Roman"/>
          <w:sz w:val="24"/>
          <w:szCs w:val="24"/>
          <w:lang w:val="es-ES" w:eastAsia="es-ES"/>
        </w:rPr>
        <w:t xml:space="preserve"> a los tres días hábiles de haber sido recibida la solicitud </w:t>
      </w:r>
      <w:r w:rsidR="003974A7" w:rsidRPr="003974A7">
        <w:rPr>
          <w:rFonts w:ascii="Palatino Linotype" w:eastAsia="Calibri" w:hAnsi="Palatino Linotype" w:cs="Times New Roman"/>
          <w:b/>
          <w:sz w:val="24"/>
          <w:szCs w:val="24"/>
          <w:lang w:val="es-ES" w:eastAsia="es-ES"/>
        </w:rPr>
        <w:t>00169/SM/IP/2018</w:t>
      </w:r>
      <w:r w:rsidR="0007397C" w:rsidRPr="003974A7">
        <w:rPr>
          <w:rFonts w:ascii="Palatino Linotype" w:eastAsia="Calibri" w:hAnsi="Palatino Linotype" w:cs="Times New Roman"/>
          <w:sz w:val="24"/>
          <w:szCs w:val="24"/>
          <w:lang w:val="es-ES" w:eastAsia="es-ES"/>
        </w:rPr>
        <w:t>; por lo</w:t>
      </w:r>
      <w:r w:rsidR="00260D6C" w:rsidRPr="003974A7">
        <w:rPr>
          <w:rFonts w:ascii="Palatino Linotype" w:eastAsia="Calibri" w:hAnsi="Palatino Linotype" w:cs="Times New Roman"/>
          <w:sz w:val="24"/>
          <w:szCs w:val="24"/>
          <w:lang w:val="es-ES" w:eastAsia="es-ES"/>
        </w:rPr>
        <w:t xml:space="preserve"> que</w:t>
      </w:r>
      <w:r w:rsidR="000F6C81" w:rsidRPr="003974A7">
        <w:rPr>
          <w:rFonts w:ascii="Palatino Linotype" w:eastAsia="Calibri" w:hAnsi="Palatino Linotype" w:cs="Times New Roman"/>
          <w:sz w:val="24"/>
          <w:szCs w:val="24"/>
          <w:lang w:val="es-ES" w:eastAsia="es-ES"/>
        </w:rPr>
        <w:t xml:space="preserve"> a mi consideración</w:t>
      </w:r>
      <w:r w:rsidRPr="003974A7">
        <w:rPr>
          <w:rFonts w:ascii="Palatino Linotype" w:eastAsia="Calibri" w:hAnsi="Palatino Linotype" w:cs="Times New Roman"/>
          <w:sz w:val="24"/>
          <w:szCs w:val="24"/>
          <w:lang w:val="es-ES" w:eastAsia="es-ES"/>
        </w:rPr>
        <w:t>, es innecesario señalar</w:t>
      </w:r>
      <w:r w:rsidR="00194B6A" w:rsidRPr="003974A7">
        <w:rPr>
          <w:rFonts w:ascii="Palatino Linotype" w:eastAsia="Calibri" w:hAnsi="Palatino Linotype" w:cs="Times New Roman"/>
          <w:sz w:val="24"/>
          <w:szCs w:val="24"/>
          <w:lang w:val="es-ES" w:eastAsia="es-ES"/>
        </w:rPr>
        <w:t xml:space="preserve"> la figura de actos consentidos,</w:t>
      </w:r>
      <w:r w:rsidR="000F6C81" w:rsidRPr="003974A7">
        <w:rPr>
          <w:rFonts w:ascii="Palatino Linotype" w:eastAsia="Calibri" w:hAnsi="Palatino Linotype" w:cs="Times New Roman"/>
          <w:sz w:val="24"/>
          <w:szCs w:val="24"/>
          <w:lang w:val="es-ES" w:eastAsia="es-ES"/>
        </w:rPr>
        <w:t xml:space="preserve"> lo anterior en atención a que</w:t>
      </w:r>
      <w:r w:rsidR="00194B6A" w:rsidRPr="003974A7">
        <w:rPr>
          <w:rFonts w:ascii="Palatino Linotype" w:eastAsia="Calibri" w:hAnsi="Palatino Linotype" w:cs="Times New Roman"/>
          <w:sz w:val="24"/>
          <w:szCs w:val="24"/>
          <w:lang w:val="es-ES" w:eastAsia="es-ES"/>
        </w:rPr>
        <w:t xml:space="preserve"> éste insti</w:t>
      </w:r>
      <w:r w:rsidR="000F6C81" w:rsidRPr="003974A7">
        <w:rPr>
          <w:rFonts w:ascii="Palatino Linotype" w:eastAsia="Calibri" w:hAnsi="Palatino Linotype" w:cs="Times New Roman"/>
          <w:sz w:val="24"/>
          <w:szCs w:val="24"/>
          <w:lang w:val="es-ES" w:eastAsia="es-ES"/>
        </w:rPr>
        <w:t xml:space="preserve">tuto como </w:t>
      </w:r>
      <w:r w:rsidR="003974A7" w:rsidRPr="003974A7">
        <w:rPr>
          <w:rFonts w:ascii="Palatino Linotype" w:eastAsia="Calibri" w:hAnsi="Palatino Linotype" w:cs="Times New Roman"/>
          <w:sz w:val="24"/>
          <w:szCs w:val="24"/>
          <w:lang w:val="es-ES" w:eastAsia="es-ES"/>
        </w:rPr>
        <w:t>Órgano Garante</w:t>
      </w:r>
      <w:r w:rsidR="000F6C81" w:rsidRPr="003974A7">
        <w:rPr>
          <w:rFonts w:ascii="Palatino Linotype" w:eastAsia="Calibri" w:hAnsi="Palatino Linotype" w:cs="Times New Roman"/>
          <w:sz w:val="24"/>
          <w:szCs w:val="24"/>
          <w:lang w:val="es-ES" w:eastAsia="es-ES"/>
        </w:rPr>
        <w:t xml:space="preserve">, tiene el </w:t>
      </w:r>
      <w:r w:rsidR="00194B6A" w:rsidRPr="003974A7">
        <w:rPr>
          <w:rFonts w:ascii="Palatino Linotype" w:eastAsia="Calibri" w:hAnsi="Palatino Linotype" w:cs="Times New Roman"/>
          <w:sz w:val="24"/>
          <w:szCs w:val="24"/>
          <w:lang w:val="es-ES" w:eastAsia="es-ES"/>
        </w:rPr>
        <w:t>deber</w:t>
      </w:r>
      <w:r w:rsidR="000F6C81" w:rsidRPr="003974A7">
        <w:rPr>
          <w:rFonts w:ascii="Palatino Linotype" w:eastAsia="Calibri" w:hAnsi="Palatino Linotype" w:cs="Times New Roman"/>
          <w:sz w:val="24"/>
          <w:szCs w:val="24"/>
          <w:lang w:val="es-ES" w:eastAsia="es-ES"/>
        </w:rPr>
        <w:t xml:space="preserve"> de</w:t>
      </w:r>
      <w:r w:rsidR="00194B6A" w:rsidRPr="003974A7">
        <w:rPr>
          <w:rFonts w:ascii="Palatino Linotype" w:eastAsia="Calibri" w:hAnsi="Palatino Linotype" w:cs="Times New Roman"/>
          <w:sz w:val="24"/>
          <w:szCs w:val="24"/>
          <w:lang w:val="es-ES" w:eastAsia="es-ES"/>
        </w:rPr>
        <w:t xml:space="preserve"> velar por el cabal cumplimiento al derecho humano de acceso a la información, mas no limita</w:t>
      </w:r>
      <w:r w:rsidR="0001046D" w:rsidRPr="003974A7">
        <w:rPr>
          <w:rFonts w:ascii="Palatino Linotype" w:eastAsia="Calibri" w:hAnsi="Palatino Linotype" w:cs="Times New Roman"/>
          <w:sz w:val="24"/>
          <w:szCs w:val="24"/>
          <w:lang w:val="es-ES" w:eastAsia="es-ES"/>
        </w:rPr>
        <w:t>rlo invocando el multicitado argumento de</w:t>
      </w:r>
      <w:r w:rsidR="00E6129E" w:rsidRPr="003974A7">
        <w:rPr>
          <w:rFonts w:ascii="Palatino Linotype" w:eastAsia="Calibri" w:hAnsi="Palatino Linotype" w:cs="Times New Roman"/>
          <w:sz w:val="24"/>
          <w:szCs w:val="24"/>
          <w:lang w:val="es-ES" w:eastAsia="es-ES"/>
        </w:rPr>
        <w:t xml:space="preserve"> actos consentidos, </w:t>
      </w:r>
      <w:r w:rsidR="0007397C" w:rsidRPr="003974A7">
        <w:rPr>
          <w:rFonts w:ascii="Palatino Linotype" w:eastAsia="Calibri" w:hAnsi="Palatino Linotype" w:cs="Times New Roman"/>
          <w:sz w:val="24"/>
          <w:szCs w:val="24"/>
          <w:lang w:val="es-ES" w:eastAsia="es-ES"/>
        </w:rPr>
        <w:t>resultando en una contradicción de exhaustividad el analizar a cabalidad solo una fracción de la respuesta a la solicitud de información</w:t>
      </w:r>
      <w:r w:rsidR="00E6129E" w:rsidRPr="003974A7">
        <w:rPr>
          <w:rFonts w:ascii="Palatino Linotype" w:eastAsia="Calibri" w:hAnsi="Palatino Linotype" w:cs="Times New Roman"/>
          <w:sz w:val="24"/>
          <w:szCs w:val="24"/>
          <w:lang w:val="es-ES" w:eastAsia="es-ES"/>
        </w:rPr>
        <w:t>.</w:t>
      </w: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31016513"/>
      <w:r w:rsidRPr="0001046D">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734C2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w:t>
      </w:r>
      <w:r w:rsidR="003974A7">
        <w:rPr>
          <w:rFonts w:ascii="Palatino Linotype" w:hAnsi="Palatino Linotype" w:cs="Arial"/>
          <w:sz w:val="24"/>
          <w:szCs w:val="24"/>
        </w:rPr>
        <w:t>‘</w:t>
      </w:r>
      <w:r w:rsidRPr="0001046D">
        <w:rPr>
          <w:rFonts w:ascii="Palatino Linotype" w:hAnsi="Palatino Linotype" w:cs="Arial"/>
          <w:sz w:val="24"/>
          <w:szCs w:val="24"/>
        </w:rPr>
        <w:t>actos consentidos</w:t>
      </w:r>
      <w:r w:rsidR="003974A7">
        <w:rPr>
          <w:rFonts w:ascii="Palatino Linotype" w:hAnsi="Palatino Linotype" w:cs="Arial"/>
          <w:sz w:val="24"/>
          <w:szCs w:val="24"/>
        </w:rPr>
        <w:t>’</w:t>
      </w:r>
      <w:r w:rsidRPr="0001046D">
        <w:rPr>
          <w:rFonts w:ascii="Palatino Linotype" w:hAnsi="Palatino Linotype" w:cs="Arial"/>
          <w:sz w:val="24"/>
          <w:szCs w:val="24"/>
        </w:rPr>
        <w:t>. Al respecto</w:t>
      </w:r>
      <w:r w:rsidR="003974A7">
        <w:rPr>
          <w:rFonts w:ascii="Palatino Linotype" w:hAnsi="Palatino Linotype" w:cs="Arial"/>
          <w:sz w:val="24"/>
          <w:szCs w:val="24"/>
        </w:rPr>
        <w:t>,</w:t>
      </w:r>
      <w:r w:rsidRPr="0001046D">
        <w:rPr>
          <w:rFonts w:ascii="Palatino Linotype" w:hAnsi="Palatino Linotype" w:cs="Arial"/>
          <w:sz w:val="24"/>
          <w:szCs w:val="24"/>
        </w:rPr>
        <w:t xml:space="preserve"> estoy convencido de que la garantía constitucional que se desahoga ante esta autoridad corresponde a un procedimiento cuasi jurisdiccional</w:t>
      </w:r>
      <w:r w:rsidR="003974A7">
        <w:rPr>
          <w:rFonts w:ascii="Palatino Linotype" w:hAnsi="Palatino Linotype" w:cs="Arial"/>
          <w:sz w:val="24"/>
          <w:szCs w:val="24"/>
        </w:rPr>
        <w:t>,</w:t>
      </w:r>
      <w:r w:rsidRPr="0001046D">
        <w:rPr>
          <w:rFonts w:ascii="Palatino Linotype" w:hAnsi="Palatino Linotype" w:cs="Arial"/>
          <w:sz w:val="24"/>
          <w:szCs w:val="24"/>
        </w:rPr>
        <w:t xml:space="preserve"> que si bien </w:t>
      </w:r>
      <w:r w:rsidR="003974A7">
        <w:rPr>
          <w:rFonts w:ascii="Palatino Linotype" w:hAnsi="Palatino Linotype" w:cs="Arial"/>
          <w:sz w:val="24"/>
          <w:szCs w:val="24"/>
        </w:rPr>
        <w:t>reúne las formalidades básicas</w:t>
      </w:r>
      <w:r w:rsidRPr="0001046D">
        <w:rPr>
          <w:rFonts w:ascii="Palatino Linotype" w:hAnsi="Palatino Linotype" w:cs="Arial"/>
          <w:sz w:val="24"/>
          <w:szCs w:val="24"/>
        </w:rPr>
        <w:t xml:space="preserve">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w:t>
      </w:r>
      <w:r w:rsidRPr="0001046D">
        <w:rPr>
          <w:rFonts w:ascii="Palatino Linotype" w:hAnsi="Palatino Linotype" w:cs="Arial"/>
          <w:sz w:val="24"/>
          <w:szCs w:val="24"/>
        </w:rPr>
        <w:lastRenderedPageBreak/>
        <w:t xml:space="preserve">con un sistema electrónico que asiste a la persona que realiza una solicitud o presenta un recurso de revisión, de tal forma que se pretende que ejerza sus derechos </w:t>
      </w:r>
      <w:r w:rsidRPr="003974A7">
        <w:rPr>
          <w:rFonts w:ascii="Palatino Linotype" w:hAnsi="Palatino Linotype" w:cs="Arial"/>
          <w:b/>
          <w:sz w:val="24"/>
          <w:szCs w:val="24"/>
        </w:rPr>
        <w:t>sin verse en la necesidad de</w:t>
      </w:r>
      <w:r w:rsidRPr="0001046D">
        <w:rPr>
          <w:rFonts w:ascii="Palatino Linotype" w:hAnsi="Palatino Linotype" w:cs="Arial"/>
          <w:sz w:val="24"/>
          <w:szCs w:val="24"/>
        </w:rPr>
        <w:t xml:space="preserv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w:t>
      </w:r>
      <w:r w:rsidRPr="0007397C">
        <w:rPr>
          <w:rFonts w:ascii="Palatino Linotype" w:hAnsi="Palatino Linotype" w:cs="Arial"/>
          <w:i/>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Fonts w:ascii="Palatino Linotype" w:hAnsi="Palatino Linotype" w:cs="Arial"/>
          <w:sz w:val="24"/>
          <w:szCs w:val="24"/>
        </w:rPr>
        <w:t>”.</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w:t>
      </w:r>
      <w:r w:rsidRPr="0007397C">
        <w:rPr>
          <w:rFonts w:ascii="Palatino Linotype" w:hAnsi="Palatino Linotype" w:cs="Arial"/>
          <w:i/>
          <w:sz w:val="24"/>
          <w:szCs w:val="24"/>
        </w:rPr>
        <w:t xml:space="preserve">“…es siempre obligatoria… respecto de los errores o defectos de los conceptos de violación </w:t>
      </w:r>
      <w:r w:rsidRPr="0007397C">
        <w:rPr>
          <w:rFonts w:ascii="Palatino Linotype" w:hAnsi="Palatino Linotype" w:cs="Arial"/>
          <w:i/>
          <w:sz w:val="24"/>
          <w:szCs w:val="24"/>
        </w:rPr>
        <w:lastRenderedPageBreak/>
        <w:t>expresados en la demanda, así como los de los agravios formulados en los recursos que el mismo ordenamiento establece</w:t>
      </w:r>
      <w:r w:rsidRPr="0001046D">
        <w:rPr>
          <w:rFonts w:ascii="Palatino Linotype" w:hAnsi="Palatino Linotype" w:cs="Arial"/>
          <w:sz w:val="24"/>
          <w:szCs w:val="24"/>
        </w:rPr>
        <w:t>”.</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734C24">
      <w:pPr>
        <w:tabs>
          <w:tab w:val="left" w:pos="426"/>
        </w:tabs>
        <w:spacing w:after="0"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xml:space="preserve">, de tal forma que cualquier esfuerzo que se haga en el sentido de cumplir con dicho mandato no resulta ocioso ni sobra sino demuestra el grado de compromiso de la autoridad con este aspecto toral de la reforma constitucional del </w:t>
      </w:r>
      <w:r w:rsidR="0007397C">
        <w:rPr>
          <w:rFonts w:ascii="Palatino Linotype" w:hAnsi="Palatino Linotype" w:cs="Arial"/>
          <w:sz w:val="24"/>
          <w:szCs w:val="24"/>
        </w:rPr>
        <w:t>diez (10)</w:t>
      </w:r>
      <w:r w:rsidRPr="0001046D">
        <w:rPr>
          <w:rFonts w:ascii="Palatino Linotype" w:hAnsi="Palatino Linotype" w:cs="Arial"/>
          <w:sz w:val="24"/>
          <w:szCs w:val="24"/>
        </w:rPr>
        <w:t xml:space="preserve"> de junio de </w:t>
      </w:r>
      <w:r w:rsidR="0007397C">
        <w:rPr>
          <w:rFonts w:ascii="Palatino Linotype" w:hAnsi="Palatino Linotype" w:cs="Arial"/>
          <w:sz w:val="24"/>
          <w:szCs w:val="24"/>
        </w:rPr>
        <w:t>dos mil once</w:t>
      </w:r>
      <w:r w:rsidRPr="0001046D">
        <w:rPr>
          <w:rFonts w:ascii="Palatino Linotype" w:hAnsi="Palatino Linotype" w:cs="Arial"/>
          <w:sz w:val="24"/>
          <w:szCs w:val="24"/>
        </w:rPr>
        <w:t>.</w:t>
      </w: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46491C" w:rsidRPr="00E6129E" w:rsidRDefault="0046491C" w:rsidP="00E6129E">
      <w:pPr>
        <w:pStyle w:val="Sinespaciado"/>
        <w:ind w:left="851" w:right="567"/>
        <w:jc w:val="both"/>
        <w:rPr>
          <w:rFonts w:ascii="Palatino Linotype" w:hAnsi="Palatino Linotype"/>
          <w:i/>
        </w:rPr>
      </w:pPr>
      <w:r w:rsidRPr="00E6129E">
        <w:rPr>
          <w:rFonts w:ascii="Palatino Linotype" w:hAnsi="Palatino Linotype"/>
          <w:i/>
        </w:rPr>
        <w:lastRenderedPageBreak/>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3974A7">
        <w:rPr>
          <w:rFonts w:ascii="Palatino Linotype" w:hAnsi="Palatino Linotype" w:cs="Arial"/>
          <w:sz w:val="24"/>
          <w:szCs w:val="24"/>
        </w:rPr>
        <w:t xml:space="preserve"> alguno de los</w:t>
      </w:r>
      <w:r w:rsidRPr="0001046D">
        <w:rPr>
          <w:rFonts w:ascii="Palatino Linotype" w:hAnsi="Palatino Linotype" w:cs="Arial"/>
          <w:sz w:val="24"/>
          <w:szCs w:val="24"/>
        </w:rPr>
        <w:t xml:space="preserve"> documento</w:t>
      </w:r>
      <w:r w:rsidR="003974A7">
        <w:rPr>
          <w:rFonts w:ascii="Palatino Linotype" w:hAnsi="Palatino Linotype" w:cs="Arial"/>
          <w:sz w:val="24"/>
          <w:szCs w:val="24"/>
        </w:rPr>
        <w:t>s</w:t>
      </w:r>
      <w:r w:rsidR="00E6129E">
        <w:rPr>
          <w:rFonts w:ascii="Palatino Linotype" w:hAnsi="Palatino Linotype" w:cs="Arial"/>
          <w:sz w:val="24"/>
          <w:szCs w:val="24"/>
        </w:rPr>
        <w:t xml:space="preserve"> solicitado</w:t>
      </w:r>
      <w:r w:rsidR="003974A7">
        <w:rPr>
          <w:rFonts w:ascii="Palatino Linotype" w:hAnsi="Palatino Linotype" w:cs="Arial"/>
          <w:sz w:val="24"/>
          <w:szCs w:val="24"/>
        </w:rPr>
        <w:t>s</w:t>
      </w:r>
      <w:r w:rsidRPr="0001046D">
        <w:rPr>
          <w:rFonts w:ascii="Palatino Linotype" w:hAnsi="Palatino Linotype" w:cs="Arial"/>
          <w:sz w:val="24"/>
          <w:szCs w:val="24"/>
        </w:rPr>
        <w:t>, debilita la efectividad de esta</w:t>
      </w:r>
      <w:r w:rsidR="003974A7">
        <w:rPr>
          <w:rFonts w:ascii="Palatino Linotype" w:hAnsi="Palatino Linotype" w:cs="Arial"/>
          <w:sz w:val="24"/>
          <w:szCs w:val="24"/>
        </w:rPr>
        <w:t xml:space="preserve"> garantía al hacerla depende</w:t>
      </w:r>
      <w:r w:rsidRPr="0001046D">
        <w:rPr>
          <w:rFonts w:ascii="Palatino Linotype" w:hAnsi="Palatino Linotype" w:cs="Arial"/>
          <w:sz w:val="24"/>
          <w:szCs w:val="24"/>
        </w:rPr>
        <w:t xml:space="preserve"> de un hecho desconocido y, por lo tanto de dudosa acreditación, además que se insiste fue en todo momento innecesario señalar el argumento de actos consentidos.</w:t>
      </w:r>
    </w:p>
    <w:p w:rsidR="0007397C" w:rsidRPr="0001046D" w:rsidRDefault="0007397C" w:rsidP="0007397C">
      <w:pPr>
        <w:pStyle w:val="Prrafodelista"/>
        <w:tabs>
          <w:tab w:val="left" w:pos="426"/>
        </w:tabs>
        <w:spacing w:after="0" w:line="360" w:lineRule="auto"/>
        <w:ind w:left="0"/>
        <w:jc w:val="both"/>
        <w:rPr>
          <w:rFonts w:ascii="Palatino Linotype" w:hAnsi="Palatino Linotype" w:cs="Arial"/>
          <w:sz w:val="24"/>
          <w:szCs w:val="24"/>
        </w:rPr>
      </w:pPr>
    </w:p>
    <w:p w:rsidR="0046491C" w:rsidRPr="0001046D" w:rsidRDefault="00E6129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Enfrentar este silencio </w:t>
      </w:r>
      <w:r w:rsidR="0046491C" w:rsidRPr="0001046D">
        <w:rPr>
          <w:rFonts w:ascii="Palatino Linotype" w:hAnsi="Palatino Linotype" w:cs="Arial"/>
          <w:sz w:val="24"/>
          <w:szCs w:val="24"/>
        </w:rPr>
        <w:t xml:space="preserve">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w:t>
      </w:r>
      <w:r w:rsidR="0046491C" w:rsidRPr="0001046D">
        <w:rPr>
          <w:rFonts w:ascii="Palatino Linotype" w:hAnsi="Palatino Linotype" w:cs="Arial"/>
          <w:sz w:val="24"/>
          <w:szCs w:val="24"/>
        </w:rPr>
        <w:lastRenderedPageBreak/>
        <w:t>legitimadora de todo el sistema ya que como bien señala el Dr. Rodolfo Luis Vigo “</w:t>
      </w:r>
      <w:r w:rsidR="0046491C" w:rsidRPr="0007397C">
        <w:rPr>
          <w:rFonts w:ascii="Palatino Linotype" w:hAnsi="Palatino Linotype" w:cs="Arial"/>
          <w:i/>
          <w:sz w:val="24"/>
          <w:szCs w:val="24"/>
        </w:rPr>
        <w:t>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r w:rsidR="0046491C" w:rsidRPr="0001046D">
        <w:rPr>
          <w:rFonts w:ascii="Palatino Linotype" w:hAnsi="Palatino Linotype" w:cs="Arial"/>
          <w:sz w:val="24"/>
          <w:szCs w:val="24"/>
        </w:rPr>
        <w:t>”.</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w:t>
      </w:r>
      <w:r w:rsidRPr="0007397C">
        <w:rPr>
          <w:rFonts w:ascii="Palatino Linotype" w:hAnsi="Palatino Linotype" w:cs="Arial"/>
          <w:i/>
          <w:sz w:val="24"/>
          <w:szCs w:val="24"/>
        </w:rPr>
        <w:t>la obligatoriedad de la norma depende de la validez de su justificación, que es, por consiguiente el fundamento de aquella</w:t>
      </w:r>
      <w:r w:rsidRPr="0001046D">
        <w:rPr>
          <w:rFonts w:ascii="Palatino Linotype" w:hAnsi="Palatino Linotype" w:cs="Arial"/>
          <w:sz w:val="24"/>
          <w:szCs w:val="24"/>
        </w:rPr>
        <w:t>”,</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Mucho menos si consideramos el siguiente criterio: </w:t>
      </w:r>
    </w:p>
    <w:p w:rsidR="003974A7" w:rsidRDefault="0046491C" w:rsidP="00E6129E">
      <w:pPr>
        <w:pStyle w:val="Sinespaciado"/>
        <w:ind w:left="851" w:right="1134"/>
        <w:jc w:val="both"/>
        <w:rPr>
          <w:rFonts w:ascii="Palatino Linotype" w:hAnsi="Palatino Linotype"/>
          <w:i/>
        </w:rPr>
      </w:pPr>
      <w:r w:rsidRPr="003974A7">
        <w:rPr>
          <w:rFonts w:ascii="Palatino Linotype" w:hAnsi="Palatino Linotype"/>
          <w:b/>
          <w:i/>
        </w:rPr>
        <w:t>DERECHOS HUMANOS. OBLIGACIÓN DE PROTEGERLOS EN TÉRMINOS DEL ARTÍCULO 1o., PÁRRAFO TERCERO, DE LA CONSTITUCIÓN POLÍTICA DE LOS ESTADOS UNIDOS MEXICANOS.</w:t>
      </w:r>
      <w:r w:rsidRPr="00E6129E">
        <w:rPr>
          <w:rFonts w:ascii="Palatino Linotype" w:hAnsi="Palatino Linotype"/>
          <w:i/>
        </w:rPr>
        <w:t xml:space="preserve"> </w:t>
      </w:r>
      <w:r w:rsidR="003974A7">
        <w:rPr>
          <w:rFonts w:ascii="Palatino Linotype" w:hAnsi="Palatino Linotype"/>
          <w:i/>
        </w:rPr>
        <w:t>“</w:t>
      </w:r>
      <w:r w:rsidRPr="00E6129E">
        <w:rPr>
          <w:rFonts w:ascii="Palatino Linotype" w:hAnsi="Palatino Linotype"/>
          <w:i/>
        </w:rPr>
        <w:t xml:space="preserve">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 xml:space="preserve">el deber que tienen los órganos del Estado, dentro del margen de sus </w:t>
      </w:r>
      <w:r w:rsidRPr="00E6129E">
        <w:rPr>
          <w:rFonts w:ascii="Palatino Linotype" w:hAnsi="Palatino Linotype"/>
          <w:b/>
          <w:i/>
        </w:rPr>
        <w:lastRenderedPageBreak/>
        <w:t>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w:t>
      </w:r>
      <w:r w:rsidR="003974A7">
        <w:rPr>
          <w:rFonts w:ascii="Palatino Linotype" w:hAnsi="Palatino Linotype"/>
          <w:i/>
        </w:rPr>
        <w:t>”</w:t>
      </w:r>
    </w:p>
    <w:p w:rsidR="0046491C" w:rsidRDefault="0046491C" w:rsidP="00E6129E">
      <w:pPr>
        <w:pStyle w:val="Sinespaciado"/>
        <w:ind w:left="851" w:right="1134"/>
        <w:jc w:val="both"/>
        <w:rPr>
          <w:rFonts w:ascii="Palatino Linotype" w:hAnsi="Palatino Linotype"/>
        </w:rPr>
      </w:pPr>
      <w:r w:rsidRPr="00E6129E">
        <w:rPr>
          <w:rFonts w:ascii="Palatino Linotype" w:hAnsi="Palatino Linotype"/>
          <w:i/>
        </w:rPr>
        <w:t>[TA] Tesis: XXVII.3o.3 CS (10a.) Tribunales Colegiados de Circuito. Décima Época, Gaceta del Semanario Judicial de la Federación, Libro 11, Octubre de 2014, Tomo III, Página: 2840.</w:t>
      </w:r>
    </w:p>
    <w:p w:rsidR="0007397C" w:rsidRPr="0007397C" w:rsidRDefault="0007397C" w:rsidP="00E6129E">
      <w:pPr>
        <w:pStyle w:val="Sinespaciado"/>
        <w:ind w:left="851" w:right="1134"/>
        <w:jc w:val="both"/>
        <w:rPr>
          <w:rFonts w:ascii="Palatino Linotype" w:hAnsi="Palatino Linotype"/>
        </w:rPr>
      </w:pPr>
      <w:r>
        <w:rPr>
          <w:rFonts w:ascii="Palatino Linotype" w:hAnsi="Palatino Linotype"/>
        </w:rPr>
        <w:t>(Énfasis añadido)</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07397C" w:rsidP="00734C24">
      <w:pPr>
        <w:pStyle w:val="Prrafodelista"/>
        <w:numPr>
          <w:ilvl w:val="0"/>
          <w:numId w:val="1"/>
        </w:numPr>
        <w:tabs>
          <w:tab w:val="left" w:pos="426"/>
        </w:tabs>
        <w:spacing w:after="0" w:line="360" w:lineRule="auto"/>
        <w:ind w:left="0" w:firstLine="0"/>
        <w:jc w:val="both"/>
        <w:rPr>
          <w:rFonts w:ascii="Palatino Linotype" w:hAnsi="Palatino Linotype" w:cs="Arial"/>
          <w:szCs w:val="24"/>
        </w:rPr>
      </w:pPr>
      <w:r>
        <w:rPr>
          <w:rFonts w:ascii="Palatino Linotype" w:hAnsi="Palatino Linotype" w:cs="Arial"/>
          <w:sz w:val="24"/>
          <w:szCs w:val="24"/>
        </w:rPr>
        <w:t>Así las cosas, y atendiendo lo previamente expuesto, resulta</w:t>
      </w:r>
      <w:r w:rsidR="0046491C" w:rsidRPr="00A71441">
        <w:rPr>
          <w:rFonts w:ascii="Palatino Linotype" w:hAnsi="Palatino Linotype" w:cs="Arial"/>
          <w:sz w:val="24"/>
          <w:szCs w:val="24"/>
        </w:rPr>
        <w:t xml:space="preserve"> innecesario incorporar en las resoluciones de un Órgano Garante como lo es el Instituto de Transparencia, Acceso a la Información Pública y Protección de Datos Per</w:t>
      </w:r>
      <w:r>
        <w:rPr>
          <w:rFonts w:ascii="Palatino Linotype" w:hAnsi="Palatino Linotype" w:cs="Arial"/>
          <w:sz w:val="24"/>
          <w:szCs w:val="24"/>
        </w:rPr>
        <w:t xml:space="preserve">sonales del Estado de México y </w:t>
      </w:r>
      <w:r w:rsidR="0046491C" w:rsidRPr="00A71441">
        <w:rPr>
          <w:rFonts w:ascii="Palatino Linotype" w:hAnsi="Palatino Linotype" w:cs="Arial"/>
          <w:sz w:val="24"/>
          <w:szCs w:val="24"/>
        </w:rPr>
        <w:t>Muni</w:t>
      </w:r>
      <w:r w:rsidR="00E6129E">
        <w:rPr>
          <w:rFonts w:ascii="Palatino Linotype" w:hAnsi="Palatino Linotype" w:cs="Arial"/>
          <w:sz w:val="24"/>
          <w:szCs w:val="24"/>
        </w:rPr>
        <w:t>cipios</w:t>
      </w:r>
      <w:r>
        <w:rPr>
          <w:rFonts w:ascii="Palatino Linotype" w:hAnsi="Palatino Linotype" w:cs="Arial"/>
          <w:sz w:val="24"/>
          <w:szCs w:val="24"/>
        </w:rPr>
        <w:t>,</w:t>
      </w:r>
      <w:r w:rsidR="00E6129E">
        <w:rPr>
          <w:rFonts w:ascii="Palatino Linotype" w:hAnsi="Palatino Linotype" w:cs="Arial"/>
          <w:sz w:val="24"/>
          <w:szCs w:val="24"/>
        </w:rPr>
        <w:t xml:space="preserve"> </w:t>
      </w:r>
      <w:r>
        <w:rPr>
          <w:rFonts w:ascii="Palatino Linotype" w:hAnsi="Palatino Linotype" w:cs="Arial"/>
          <w:sz w:val="24"/>
          <w:szCs w:val="24"/>
        </w:rPr>
        <w:t>l</w:t>
      </w:r>
      <w:r w:rsidR="00E6129E">
        <w:rPr>
          <w:rFonts w:ascii="Palatino Linotype" w:hAnsi="Palatino Linotype" w:cs="Arial"/>
          <w:sz w:val="24"/>
          <w:szCs w:val="24"/>
        </w:rPr>
        <w:t xml:space="preserve">os </w:t>
      </w:r>
      <w:r w:rsidR="00E6129E" w:rsidRPr="003974A7">
        <w:rPr>
          <w:rFonts w:ascii="Palatino Linotype" w:hAnsi="Palatino Linotype" w:cs="Arial"/>
          <w:i/>
          <w:sz w:val="24"/>
          <w:szCs w:val="24"/>
        </w:rPr>
        <w:t>actos consentidos</w:t>
      </w:r>
      <w:r w:rsidR="003974A7">
        <w:rPr>
          <w:rFonts w:ascii="Palatino Linotype" w:hAnsi="Palatino Linotype" w:cs="Arial"/>
          <w:i/>
          <w:sz w:val="24"/>
          <w:szCs w:val="24"/>
        </w:rPr>
        <w:t>,</w:t>
      </w:r>
      <w:r w:rsidR="00E6129E">
        <w:rPr>
          <w:rFonts w:ascii="Palatino Linotype" w:hAnsi="Palatino Linotype" w:cs="Arial"/>
          <w:sz w:val="24"/>
          <w:szCs w:val="24"/>
        </w:rPr>
        <w:t xml:space="preserve"> </w:t>
      </w:r>
      <w:r w:rsidR="0046491C" w:rsidRPr="00A71441">
        <w:rPr>
          <w:rFonts w:ascii="Palatino Linotype" w:hAnsi="Palatino Linotype" w:cs="Arial"/>
          <w:sz w:val="24"/>
          <w:szCs w:val="24"/>
        </w:rPr>
        <w:t xml:space="preserve">toda vez que los particulares al no impugnar alguno de los requerimientos solicitados, y de la </w:t>
      </w:r>
      <w:r w:rsidR="0046491C" w:rsidRPr="0007397C">
        <w:rPr>
          <w:rFonts w:ascii="Palatino Linotype" w:hAnsi="Palatino Linotype" w:cs="Arial"/>
          <w:sz w:val="24"/>
          <w:szCs w:val="24"/>
        </w:rPr>
        <w:t xml:space="preserve">respuesta ofrecida por parte de los </w:t>
      </w:r>
      <w:r w:rsidR="0046491C" w:rsidRPr="0007397C">
        <w:rPr>
          <w:rFonts w:ascii="Palatino Linotype" w:hAnsi="Palatino Linotype" w:cs="Arial"/>
          <w:b/>
          <w:sz w:val="24"/>
          <w:szCs w:val="24"/>
        </w:rPr>
        <w:t>SUJETOS OBLIGADOS</w:t>
      </w:r>
      <w:r w:rsidR="0046491C" w:rsidRPr="0007397C">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w:t>
      </w:r>
      <w:r w:rsidR="0046491C" w:rsidRPr="0007397C">
        <w:rPr>
          <w:rFonts w:ascii="Palatino Linotype" w:hAnsi="Palatino Linotype" w:cs="Arial"/>
          <w:b/>
          <w:sz w:val="24"/>
          <w:szCs w:val="24"/>
          <w:u w:val="single"/>
        </w:rPr>
        <w:t>suplencia de la queja</w:t>
      </w:r>
      <w:r w:rsidR="0046491C" w:rsidRPr="0007397C">
        <w:rPr>
          <w:rFonts w:ascii="Palatino Linotype" w:hAnsi="Palatino Linotype" w:cs="Arial"/>
          <w:sz w:val="24"/>
          <w:szCs w:val="24"/>
        </w:rPr>
        <w:t xml:space="preserve">, instrumento adecuado para prevenir una posible vulneración </w:t>
      </w:r>
      <w:r w:rsidR="0046491C" w:rsidRPr="0007397C">
        <w:rPr>
          <w:rFonts w:ascii="Palatino Linotype" w:hAnsi="Palatino Linotype" w:cs="Arial"/>
          <w:sz w:val="24"/>
          <w:szCs w:val="24"/>
        </w:rPr>
        <w:lastRenderedPageBreak/>
        <w:t>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46491C" w:rsidRPr="00F90F3D" w:rsidRDefault="0046491C" w:rsidP="00F90F3D">
      <w:pPr>
        <w:pStyle w:val="Sinespaciado"/>
        <w:ind w:left="851" w:right="567"/>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F90F3D">
        <w:rPr>
          <w:rFonts w:ascii="Palatino Linotype" w:hAnsi="Palatino Linotype"/>
          <w:i/>
        </w:rPr>
        <w:t>ocasionalidad</w:t>
      </w:r>
      <w:proofErr w:type="spellEnd"/>
      <w:r w:rsidRPr="00F90F3D">
        <w:rPr>
          <w:rFonts w:ascii="Palatino Linotype" w:hAnsi="Palatino Linotype"/>
          <w:i/>
        </w:rPr>
        <w:t xml:space="preserve"> de las presiones sociales que se ejercen sobre el mismo”.</w:t>
      </w:r>
      <w:r w:rsidRPr="00F90F3D">
        <w:rPr>
          <w:rStyle w:val="Refdenotaalpie"/>
          <w:rFonts w:ascii="Palatino Linotype" w:hAnsi="Palatino Linotype" w:cs="Arial"/>
          <w:i/>
        </w:rPr>
        <w:footnoteReference w:id="5"/>
      </w:r>
    </w:p>
    <w:p w:rsidR="009156AC" w:rsidRPr="0001046D" w:rsidRDefault="009156AC" w:rsidP="00E34F08">
      <w:pPr>
        <w:spacing w:after="0" w:line="360" w:lineRule="auto"/>
        <w:ind w:left="1134" w:right="618"/>
        <w:jc w:val="both"/>
        <w:rPr>
          <w:rFonts w:ascii="Palatino Linotype" w:hAnsi="Palatino Linotype" w:cs="Arial"/>
          <w:i/>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C802C9" w:rsidRDefault="00F15D8D" w:rsidP="00734C24">
      <w:pPr>
        <w:pStyle w:val="Prrafodelista"/>
        <w:numPr>
          <w:ilvl w:val="0"/>
          <w:numId w:val="1"/>
        </w:numPr>
        <w:tabs>
          <w:tab w:val="left" w:pos="426"/>
        </w:tabs>
        <w:spacing w:line="360" w:lineRule="auto"/>
        <w:ind w:left="0" w:firstLine="0"/>
        <w:jc w:val="both"/>
        <w:rPr>
          <w:rFonts w:ascii="Palatino Linotype" w:hAnsi="Palatino Linotype" w:cs="Arial"/>
        </w:rPr>
      </w:pPr>
      <w:r w:rsidRPr="00C802C9">
        <w:rPr>
          <w:rFonts w:ascii="Palatino Linotype" w:hAnsi="Palatino Linotype" w:cs="Arial"/>
        </w:rPr>
        <w:lastRenderedPageBreak/>
        <w:t>Dicho lo anterior, c</w:t>
      </w:r>
      <w:r w:rsidR="0046491C" w:rsidRPr="00C802C9">
        <w:rPr>
          <w:rFonts w:ascii="Palatino Linotype" w:hAnsi="Palatino Linotype" w:cs="Arial"/>
        </w:rPr>
        <w:t>onsidero que no se justifica el argumento que se ha señalado en múltiples ocasiones y que comparte l</w:t>
      </w:r>
      <w:r w:rsidRPr="00C802C9">
        <w:rPr>
          <w:rFonts w:ascii="Palatino Linotype" w:hAnsi="Palatino Linotype" w:cs="Arial"/>
        </w:rPr>
        <w:t>a mayoría en relación a “</w:t>
      </w:r>
      <w:r w:rsidRPr="00C802C9">
        <w:rPr>
          <w:rFonts w:ascii="Palatino Linotype" w:hAnsi="Palatino Linotype" w:cs="Arial"/>
          <w:i/>
        </w:rPr>
        <w:t>si no e</w:t>
      </w:r>
      <w:r w:rsidR="0046491C" w:rsidRPr="00C802C9">
        <w:rPr>
          <w:rFonts w:ascii="Palatino Linotype" w:hAnsi="Palatino Linotype" w:cs="Arial"/>
          <w:i/>
        </w:rPr>
        <w:t>st</w:t>
      </w:r>
      <w:r w:rsidRPr="00C802C9">
        <w:rPr>
          <w:rFonts w:ascii="Palatino Linotype" w:hAnsi="Palatino Linotype" w:cs="Arial"/>
          <w:i/>
        </w:rPr>
        <w:t>á</w:t>
      </w:r>
      <w:r w:rsidR="0046491C" w:rsidRPr="00C802C9">
        <w:rPr>
          <w:rFonts w:ascii="Palatino Linotype" w:hAnsi="Palatino Linotype" w:cs="Arial"/>
          <w:i/>
        </w:rPr>
        <w:t xml:space="preserve"> expresa razón o motivo de inconformidad en contra de todos los rubros solicitados, dichos rubros deben declararse atendidos, pues se infiere que el recurrente </w:t>
      </w:r>
      <w:r w:rsidR="003974A7" w:rsidRPr="00C802C9">
        <w:rPr>
          <w:rFonts w:ascii="Palatino Linotype" w:hAnsi="Palatino Linotype" w:cs="Arial"/>
          <w:i/>
        </w:rPr>
        <w:t>está</w:t>
      </w:r>
      <w:r w:rsidR="0046491C" w:rsidRPr="00C802C9">
        <w:rPr>
          <w:rFonts w:ascii="Palatino Linotype" w:hAnsi="Palatino Linotype" w:cs="Arial"/>
          <w:i/>
        </w:rPr>
        <w:t xml:space="preserve"> conforme con la información entregada al no contravenir la misma</w:t>
      </w:r>
      <w:r w:rsidR="0046491C" w:rsidRPr="00C802C9">
        <w:rPr>
          <w:rFonts w:ascii="Palatino Linotype" w:hAnsi="Palatino Linotype" w:cs="Arial"/>
        </w:rPr>
        <w:t>”.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C802C9" w:rsidRDefault="00DF6F7E" w:rsidP="00E34F08">
      <w:pPr>
        <w:pStyle w:val="Prrafodelista"/>
        <w:spacing w:line="360" w:lineRule="auto"/>
        <w:jc w:val="both"/>
        <w:rPr>
          <w:rFonts w:ascii="Palatino Linotype" w:hAnsi="Palatino Linotype" w:cs="Arial"/>
        </w:rPr>
      </w:pPr>
    </w:p>
    <w:p w:rsidR="0046491C" w:rsidRPr="00C802C9"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rPr>
      </w:pPr>
      <w:r w:rsidRPr="00C802C9">
        <w:rPr>
          <w:rFonts w:ascii="Palatino Linotype" w:hAnsi="Palatino Linotype" w:cs="Arial"/>
        </w:rPr>
        <w:t>Adoptar la posición que propongo pretende ordenar un acto de plena certeza, el que siempre puede ser matizado por un “</w:t>
      </w:r>
      <w:r w:rsidRPr="00C802C9">
        <w:rPr>
          <w:rFonts w:ascii="Palatino Linotype" w:hAnsi="Palatino Linotype" w:cs="Arial"/>
          <w:i/>
        </w:rPr>
        <w:t>en su caso</w:t>
      </w:r>
      <w:r w:rsidRPr="00C802C9">
        <w:rPr>
          <w:rFonts w:ascii="Palatino Linotype" w:hAnsi="Palatino Linotype" w:cs="Arial"/>
        </w:rPr>
        <w:t xml:space="preserve">”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9156AC" w:rsidRPr="00C802C9" w:rsidRDefault="009156AC" w:rsidP="00C802C9">
      <w:pPr>
        <w:spacing w:line="240" w:lineRule="auto"/>
        <w:rPr>
          <w:rFonts w:ascii="Palatino Linotype" w:hAnsi="Palatino Linotype"/>
        </w:rPr>
      </w:pPr>
    </w:p>
    <w:p w:rsidR="0046491C" w:rsidRPr="00C802C9" w:rsidRDefault="0046491C" w:rsidP="00C802C9">
      <w:pPr>
        <w:pStyle w:val="Sinespaciado"/>
        <w:jc w:val="center"/>
        <w:rPr>
          <w:rFonts w:ascii="Palatino Linotype" w:hAnsi="Palatino Linotype"/>
          <w:b/>
        </w:rPr>
      </w:pPr>
      <w:r w:rsidRPr="00C802C9">
        <w:rPr>
          <w:rFonts w:ascii="Palatino Linotype" w:hAnsi="Palatino Linotype"/>
          <w:b/>
        </w:rPr>
        <w:t>JOSÉ GUADALUPE LUNA HERNÁNDEZ</w:t>
      </w:r>
    </w:p>
    <w:p w:rsidR="0046491C" w:rsidRDefault="0046491C" w:rsidP="00C802C9">
      <w:pPr>
        <w:spacing w:line="240" w:lineRule="auto"/>
        <w:jc w:val="center"/>
        <w:rPr>
          <w:rFonts w:ascii="Palatino Linotype" w:hAnsi="Palatino Linotype"/>
          <w:b/>
        </w:rPr>
      </w:pPr>
      <w:r w:rsidRPr="00C802C9">
        <w:rPr>
          <w:rFonts w:ascii="Palatino Linotype" w:hAnsi="Palatino Linotype"/>
          <w:b/>
        </w:rPr>
        <w:t>COMISIONADO</w:t>
      </w:r>
    </w:p>
    <w:p w:rsidR="00C802C9" w:rsidRPr="00C802C9" w:rsidRDefault="00C802C9" w:rsidP="00C802C9">
      <w:pPr>
        <w:spacing w:line="240" w:lineRule="auto"/>
        <w:jc w:val="center"/>
        <w:rPr>
          <w:rFonts w:ascii="Palatino Linotype" w:hAnsi="Palatino Linotype"/>
        </w:rPr>
      </w:pPr>
      <w:r>
        <w:rPr>
          <w:rFonts w:ascii="Palatino Linotype" w:hAnsi="Palatino Linotype"/>
          <w:b/>
        </w:rPr>
        <w:t>(Rúbrica)</w:t>
      </w:r>
    </w:p>
    <w:p w:rsidR="00575478" w:rsidRPr="00C802C9" w:rsidRDefault="00A71441" w:rsidP="00C802C9">
      <w:pPr>
        <w:spacing w:line="240" w:lineRule="auto"/>
        <w:rPr>
          <w:rFonts w:ascii="Palatino Linotype" w:hAnsi="Palatino Linotype"/>
          <w:b/>
        </w:rPr>
      </w:pPr>
      <w:r w:rsidRPr="00C802C9">
        <w:rPr>
          <w:rFonts w:ascii="Palatino Linotype" w:hAnsi="Palatino Linotype"/>
          <w:b/>
        </w:rPr>
        <w:t>JGLH/</w:t>
      </w:r>
      <w:r w:rsidR="00F90F3D" w:rsidRPr="00C802C9">
        <w:rPr>
          <w:rFonts w:ascii="Palatino Linotype" w:hAnsi="Palatino Linotype"/>
          <w:b/>
        </w:rPr>
        <w:t>JAAV</w:t>
      </w:r>
      <w:r w:rsidR="00575478" w:rsidRPr="00C802C9">
        <w:rPr>
          <w:rFonts w:ascii="Palatino Linotype" w:hAnsi="Palatino Linotype"/>
          <w:b/>
        </w:rPr>
        <w:t>.</w:t>
      </w:r>
      <w:bookmarkStart w:id="3" w:name="_GoBack"/>
      <w:bookmarkEnd w:id="3"/>
    </w:p>
    <w:sectPr w:rsidR="00575478" w:rsidRPr="00C802C9"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CDB" w:rsidRDefault="00C06CDB" w:rsidP="00E706DA">
      <w:pPr>
        <w:spacing w:after="0" w:line="240" w:lineRule="auto"/>
      </w:pPr>
      <w:r>
        <w:separator/>
      </w:r>
    </w:p>
  </w:endnote>
  <w:endnote w:type="continuationSeparator" w:id="0">
    <w:p w:rsidR="00C06CDB" w:rsidRDefault="00C06CDB"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D59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D590D">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D590D">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2D590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D59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CDB" w:rsidRDefault="00C06CDB" w:rsidP="00E706DA">
      <w:pPr>
        <w:spacing w:after="0" w:line="240" w:lineRule="auto"/>
      </w:pPr>
      <w:r>
        <w:separator/>
      </w:r>
    </w:p>
  </w:footnote>
  <w:footnote w:type="continuationSeparator" w:id="0">
    <w:p w:rsidR="00C06CDB" w:rsidRDefault="00C06CDB"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D59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D59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2D590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D59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2"/>
  </w:num>
  <w:num w:numId="8">
    <w:abstractNumId w:val="10"/>
  </w:num>
  <w:num w:numId="9">
    <w:abstractNumId w:val="14"/>
  </w:num>
  <w:num w:numId="10">
    <w:abstractNumId w:val="1"/>
  </w:num>
  <w:num w:numId="11">
    <w:abstractNumId w:val="13"/>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7405"/>
    <w:rsid w:val="00043E31"/>
    <w:rsid w:val="0007397C"/>
    <w:rsid w:val="00073F0D"/>
    <w:rsid w:val="000951B4"/>
    <w:rsid w:val="000A77B5"/>
    <w:rsid w:val="000A7B66"/>
    <w:rsid w:val="000F6C81"/>
    <w:rsid w:val="000F6CBB"/>
    <w:rsid w:val="00105730"/>
    <w:rsid w:val="00122625"/>
    <w:rsid w:val="00194B6A"/>
    <w:rsid w:val="001D3F34"/>
    <w:rsid w:val="0020315F"/>
    <w:rsid w:val="002036ED"/>
    <w:rsid w:val="00222DD9"/>
    <w:rsid w:val="00225026"/>
    <w:rsid w:val="00260D6C"/>
    <w:rsid w:val="002620E9"/>
    <w:rsid w:val="00281310"/>
    <w:rsid w:val="002C1F75"/>
    <w:rsid w:val="002D590D"/>
    <w:rsid w:val="002F71D0"/>
    <w:rsid w:val="00302832"/>
    <w:rsid w:val="00346DBD"/>
    <w:rsid w:val="00367E00"/>
    <w:rsid w:val="003705BB"/>
    <w:rsid w:val="003747A5"/>
    <w:rsid w:val="003837C2"/>
    <w:rsid w:val="003974A7"/>
    <w:rsid w:val="003D7B9E"/>
    <w:rsid w:val="004010CE"/>
    <w:rsid w:val="00412952"/>
    <w:rsid w:val="00413496"/>
    <w:rsid w:val="00424DE3"/>
    <w:rsid w:val="00444048"/>
    <w:rsid w:val="0046491C"/>
    <w:rsid w:val="0048490F"/>
    <w:rsid w:val="004F5418"/>
    <w:rsid w:val="00532410"/>
    <w:rsid w:val="005413BD"/>
    <w:rsid w:val="00575478"/>
    <w:rsid w:val="005A3267"/>
    <w:rsid w:val="005C79C8"/>
    <w:rsid w:val="005F3760"/>
    <w:rsid w:val="00634736"/>
    <w:rsid w:val="00651380"/>
    <w:rsid w:val="006728FD"/>
    <w:rsid w:val="00673293"/>
    <w:rsid w:val="0069498B"/>
    <w:rsid w:val="006E1859"/>
    <w:rsid w:val="006E2606"/>
    <w:rsid w:val="00717C0D"/>
    <w:rsid w:val="0072136B"/>
    <w:rsid w:val="00734C24"/>
    <w:rsid w:val="0076241F"/>
    <w:rsid w:val="00770016"/>
    <w:rsid w:val="00790E37"/>
    <w:rsid w:val="007A7FAD"/>
    <w:rsid w:val="007E2CF8"/>
    <w:rsid w:val="00814E97"/>
    <w:rsid w:val="008361CA"/>
    <w:rsid w:val="00850252"/>
    <w:rsid w:val="00856FA1"/>
    <w:rsid w:val="008822B3"/>
    <w:rsid w:val="00895A90"/>
    <w:rsid w:val="008B03B6"/>
    <w:rsid w:val="008C2FF2"/>
    <w:rsid w:val="008D4B3A"/>
    <w:rsid w:val="008E01AC"/>
    <w:rsid w:val="008E1DCC"/>
    <w:rsid w:val="008E4128"/>
    <w:rsid w:val="008F3E81"/>
    <w:rsid w:val="00900E75"/>
    <w:rsid w:val="00902248"/>
    <w:rsid w:val="009156AC"/>
    <w:rsid w:val="00937D7D"/>
    <w:rsid w:val="0094239C"/>
    <w:rsid w:val="009B4E7D"/>
    <w:rsid w:val="009C4EF6"/>
    <w:rsid w:val="00A63717"/>
    <w:rsid w:val="00A71441"/>
    <w:rsid w:val="00AA49F3"/>
    <w:rsid w:val="00AB023D"/>
    <w:rsid w:val="00AB126B"/>
    <w:rsid w:val="00AC381E"/>
    <w:rsid w:val="00AE4797"/>
    <w:rsid w:val="00AE58DA"/>
    <w:rsid w:val="00AF73BC"/>
    <w:rsid w:val="00B120CA"/>
    <w:rsid w:val="00B62486"/>
    <w:rsid w:val="00BC7B0C"/>
    <w:rsid w:val="00BE46D4"/>
    <w:rsid w:val="00BF3534"/>
    <w:rsid w:val="00C06CDB"/>
    <w:rsid w:val="00C802C9"/>
    <w:rsid w:val="00CE0823"/>
    <w:rsid w:val="00CF71F8"/>
    <w:rsid w:val="00D33AF9"/>
    <w:rsid w:val="00D363F7"/>
    <w:rsid w:val="00D72985"/>
    <w:rsid w:val="00D7508B"/>
    <w:rsid w:val="00DA6B18"/>
    <w:rsid w:val="00DF6F7E"/>
    <w:rsid w:val="00E30CD7"/>
    <w:rsid w:val="00E34F08"/>
    <w:rsid w:val="00E35329"/>
    <w:rsid w:val="00E6129E"/>
    <w:rsid w:val="00E61AB8"/>
    <w:rsid w:val="00E706DA"/>
    <w:rsid w:val="00E83E93"/>
    <w:rsid w:val="00E90EB5"/>
    <w:rsid w:val="00E94FBF"/>
    <w:rsid w:val="00EA2C08"/>
    <w:rsid w:val="00ED288D"/>
    <w:rsid w:val="00ED57EE"/>
    <w:rsid w:val="00EF0C2D"/>
    <w:rsid w:val="00F15D8D"/>
    <w:rsid w:val="00F25783"/>
    <w:rsid w:val="00F45161"/>
    <w:rsid w:val="00F46E78"/>
    <w:rsid w:val="00F857BC"/>
    <w:rsid w:val="00F90F3D"/>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23649933">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23157386">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4258</Words>
  <Characters>23420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2018-02-08T00:18:00Z</cp:lastPrinted>
  <dcterms:created xsi:type="dcterms:W3CDTF">2018-11-26T23:27:00Z</dcterms:created>
  <dcterms:modified xsi:type="dcterms:W3CDTF">2019-01-18T01:41:00Z</dcterms:modified>
</cp:coreProperties>
</file>